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50" w:rsidRDefault="00265450" w:rsidP="00265450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265450" w:rsidRDefault="00265450" w:rsidP="00265450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265450" w:rsidRDefault="00265450" w:rsidP="00265450">
      <w:pPr>
        <w:jc w:val="center"/>
      </w:pPr>
    </w:p>
    <w:p w:rsidR="00265450" w:rsidRDefault="00265450" w:rsidP="009B5879">
      <w:pPr>
        <w:pStyle w:val="a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FF5911" w:rsidRDefault="00FF5911" w:rsidP="00265450"/>
    <w:p w:rsidR="00265450" w:rsidRDefault="00FF5911" w:rsidP="00265450">
      <w:r>
        <w:t>От   24</w:t>
      </w:r>
      <w:r w:rsidR="00D927ED">
        <w:t>.04.2020</w:t>
      </w:r>
      <w:r w:rsidR="00265450">
        <w:t xml:space="preserve"> г.            </w:t>
      </w:r>
      <w:r>
        <w:t xml:space="preserve">                          №  206</w:t>
      </w:r>
    </w:p>
    <w:p w:rsidR="00265450" w:rsidRDefault="00265450" w:rsidP="00265450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265450" w:rsidRDefault="00265450" w:rsidP="00265450"/>
    <w:p w:rsidR="00265450" w:rsidRDefault="00265450" w:rsidP="00D927ED">
      <w:r>
        <w:t xml:space="preserve">О </w:t>
      </w:r>
      <w:r w:rsidR="00D927ED">
        <w:t>создании групп контроля</w:t>
      </w:r>
    </w:p>
    <w:p w:rsidR="00265450" w:rsidRDefault="00265450" w:rsidP="00265450"/>
    <w:p w:rsidR="00265450" w:rsidRDefault="00265450" w:rsidP="00265450">
      <w:pPr>
        <w:jc w:val="both"/>
      </w:pPr>
      <w:r>
        <w:tab/>
        <w:t xml:space="preserve">В  </w:t>
      </w:r>
      <w:r w:rsidR="00D927ED">
        <w:t xml:space="preserve">целях обеспечения </w:t>
      </w:r>
      <w:proofErr w:type="gramStart"/>
      <w:r w:rsidR="00D927ED">
        <w:t xml:space="preserve">контроля </w:t>
      </w:r>
      <w:r w:rsidR="0086482A">
        <w:t xml:space="preserve"> </w:t>
      </w:r>
      <w:r w:rsidR="00D927ED">
        <w:t>за</w:t>
      </w:r>
      <w:proofErr w:type="gramEnd"/>
      <w:r w:rsidR="00D927ED">
        <w:t xml:space="preserve"> реализацией гражданами, организациями (предприятиями) мер по предотвращению распространения новой </w:t>
      </w:r>
      <w:proofErr w:type="spellStart"/>
      <w:r w:rsidR="00D927ED">
        <w:t>коронавирусной</w:t>
      </w:r>
      <w:proofErr w:type="spellEnd"/>
      <w:r w:rsidR="00D927ED">
        <w:t xml:space="preserve"> инфекции на территории  </w:t>
      </w:r>
      <w:proofErr w:type="spellStart"/>
      <w:r w:rsidR="00D927ED">
        <w:t>Сусуманского</w:t>
      </w:r>
      <w:proofErr w:type="spellEnd"/>
      <w:r w:rsidR="00D927ED">
        <w:t xml:space="preserve"> городского округа, во исполнение Указа губернатора Магаданской области от 21 апреля 2020 г. № 70-у </w:t>
      </w:r>
      <w:r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265450" w:rsidRDefault="00265450" w:rsidP="00265450">
      <w:pPr>
        <w:pStyle w:val="consplusnormal"/>
        <w:jc w:val="both"/>
      </w:pPr>
      <w:r>
        <w:t>ПОСТАНОВЛЯЕТ:</w:t>
      </w:r>
    </w:p>
    <w:p w:rsidR="00D927ED" w:rsidRDefault="00265450" w:rsidP="00FF5911">
      <w:pPr>
        <w:ind w:firstLine="708"/>
        <w:jc w:val="both"/>
      </w:pPr>
      <w:r>
        <w:t>1.</w:t>
      </w:r>
      <w:r w:rsidR="00FF5911">
        <w:t xml:space="preserve"> </w:t>
      </w:r>
      <w:r w:rsidR="00D927ED">
        <w:t xml:space="preserve">Создать </w:t>
      </w:r>
      <w:r w:rsidR="00D60FC4">
        <w:t xml:space="preserve">на территории округа </w:t>
      </w:r>
      <w:r w:rsidR="00D927ED">
        <w:t xml:space="preserve">группы </w:t>
      </w:r>
      <w:proofErr w:type="gramStart"/>
      <w:r w:rsidR="00D927ED">
        <w:t>контроля</w:t>
      </w:r>
      <w:r w:rsidR="00D60FC4" w:rsidRPr="00D60FC4">
        <w:t xml:space="preserve"> </w:t>
      </w:r>
      <w:r w:rsidR="00D60FC4">
        <w:t>за</w:t>
      </w:r>
      <w:proofErr w:type="gramEnd"/>
      <w:r w:rsidR="00D60FC4">
        <w:t xml:space="preserve"> реализацией гражданами, организациями (предприятиями) мер по предотвращению распространения новой </w:t>
      </w:r>
      <w:proofErr w:type="spellStart"/>
      <w:r w:rsidR="00D60FC4">
        <w:t>коронавирусной</w:t>
      </w:r>
      <w:proofErr w:type="spellEnd"/>
      <w:r w:rsidR="00D60FC4">
        <w:t xml:space="preserve"> инфекции (далее – группа контроля)</w:t>
      </w:r>
      <w:r w:rsidR="00136740">
        <w:t>.</w:t>
      </w:r>
    </w:p>
    <w:p w:rsidR="00D60FC4" w:rsidRDefault="00D60FC4" w:rsidP="00FF5911">
      <w:pPr>
        <w:ind w:firstLine="708"/>
        <w:jc w:val="both"/>
      </w:pPr>
      <w:r>
        <w:t xml:space="preserve">2. Утвердить основной и резервный составы групп контроля согласно приложению </w:t>
      </w:r>
      <w:r w:rsidR="00FF5911">
        <w:t xml:space="preserve">№ </w:t>
      </w:r>
      <w:r>
        <w:t>1.</w:t>
      </w:r>
    </w:p>
    <w:p w:rsidR="00D60FC4" w:rsidRDefault="00D60FC4" w:rsidP="00FF5911">
      <w:pPr>
        <w:ind w:firstLine="708"/>
        <w:jc w:val="both"/>
      </w:pPr>
      <w:r>
        <w:t>3. Назначить лицом, ответственным за организацию выхода групп на дежурство, главного специалиста  отдела по делам ГО</w:t>
      </w:r>
      <w:r w:rsidR="0086482A">
        <w:t xml:space="preserve"> </w:t>
      </w:r>
      <w:r>
        <w:t>и</w:t>
      </w:r>
      <w:r w:rsidR="0086482A">
        <w:t xml:space="preserve"> </w:t>
      </w:r>
      <w:r>
        <w:t>ЧС  администрации округа  Федорова А.В.</w:t>
      </w:r>
    </w:p>
    <w:p w:rsidR="00D60FC4" w:rsidRDefault="00D60FC4" w:rsidP="00FF5911">
      <w:pPr>
        <w:ind w:firstLine="708"/>
        <w:jc w:val="both"/>
      </w:pPr>
      <w:r>
        <w:t xml:space="preserve">4. </w:t>
      </w:r>
      <w:r w:rsidR="00AB6EDE">
        <w:t>Ответственному лицу</w:t>
      </w:r>
      <w:r w:rsidR="0086482A">
        <w:t xml:space="preserve"> </w:t>
      </w:r>
      <w:r w:rsidR="00AB6EDE">
        <w:t>(Федоров А.В.):</w:t>
      </w:r>
    </w:p>
    <w:p w:rsidR="00D60FC4" w:rsidRDefault="00D60FC4" w:rsidP="00FF5911">
      <w:pPr>
        <w:ind w:firstLine="708"/>
        <w:jc w:val="both"/>
      </w:pPr>
      <w:r>
        <w:t>4.1. обеспечить ежедневный выход групп контроля на рейдовые мероприятия;</w:t>
      </w:r>
    </w:p>
    <w:p w:rsidR="00D60FC4" w:rsidRDefault="00D60FC4" w:rsidP="00FF5911">
      <w:pPr>
        <w:ind w:firstLine="708"/>
        <w:jc w:val="both"/>
      </w:pPr>
      <w:r>
        <w:t>4.2. составить график выхода групп к</w:t>
      </w:r>
      <w:r w:rsidR="00AB6EDE">
        <w:t>онтроля на рейдовые мероприятия;</w:t>
      </w:r>
    </w:p>
    <w:p w:rsidR="00D60FC4" w:rsidRDefault="00D60FC4" w:rsidP="00FF5911">
      <w:pPr>
        <w:ind w:firstLine="708"/>
        <w:jc w:val="both"/>
      </w:pPr>
      <w:r>
        <w:t>4.3.</w:t>
      </w:r>
      <w:r w:rsidR="003D0CA9">
        <w:t xml:space="preserve"> </w:t>
      </w:r>
      <w:r>
        <w:t>осуществлять инструктаж групп контроля  перед выходом на рейдовые м</w:t>
      </w:r>
      <w:r w:rsidR="00AB6EDE">
        <w:t xml:space="preserve">ероприятия в соответствии с приложением к Указу </w:t>
      </w:r>
      <w:r w:rsidR="0086482A">
        <w:t>губернатора</w:t>
      </w:r>
      <w:r w:rsidR="003D0CA9">
        <w:t xml:space="preserve"> Магаданской области от 21 </w:t>
      </w:r>
      <w:r w:rsidR="00AB6EDE">
        <w:t>апреля 2020 г. № 70-у;</w:t>
      </w:r>
    </w:p>
    <w:p w:rsidR="0086482A" w:rsidRDefault="0086482A" w:rsidP="00FF5911">
      <w:pPr>
        <w:ind w:firstLine="708"/>
        <w:jc w:val="both"/>
      </w:pPr>
      <w:r>
        <w:t>4.4</w:t>
      </w:r>
      <w:r w:rsidR="003D0CA9">
        <w:t>.</w:t>
      </w:r>
      <w:r>
        <w:t xml:space="preserve"> обеспечить группы контроля </w:t>
      </w:r>
      <w:proofErr w:type="gramStart"/>
      <w:r>
        <w:t>персональными</w:t>
      </w:r>
      <w:proofErr w:type="gramEnd"/>
      <w:r>
        <w:t xml:space="preserve"> </w:t>
      </w:r>
      <w:proofErr w:type="spellStart"/>
      <w:r>
        <w:t>бейджами</w:t>
      </w:r>
      <w:proofErr w:type="spellEnd"/>
      <w:r>
        <w:t xml:space="preserve"> утвержденной формы;</w:t>
      </w:r>
    </w:p>
    <w:p w:rsidR="003D0CA9" w:rsidRDefault="0086482A" w:rsidP="00FF5911">
      <w:pPr>
        <w:ind w:firstLine="708"/>
        <w:jc w:val="both"/>
      </w:pPr>
      <w:r>
        <w:t>4.5</w:t>
      </w:r>
      <w:r w:rsidR="00AB6EDE">
        <w:t>.</w:t>
      </w:r>
      <w:r w:rsidR="00FF5911">
        <w:t xml:space="preserve"> </w:t>
      </w:r>
      <w:r w:rsidR="00AB6EDE">
        <w:t>обеспечить предоставление отчетности  руководителями групп о проведенных рейдовых мероприяти</w:t>
      </w:r>
      <w:r w:rsidR="00963F7F">
        <w:t>ях п</w:t>
      </w:r>
      <w:r w:rsidR="003D0CA9">
        <w:t>о формам</w:t>
      </w:r>
      <w:r w:rsidR="00136740">
        <w:t xml:space="preserve"> согласно </w:t>
      </w:r>
      <w:r w:rsidR="00327501">
        <w:t>приложениям 2,3.</w:t>
      </w:r>
    </w:p>
    <w:p w:rsidR="00AB6EDE" w:rsidRDefault="00AB6EDE" w:rsidP="00FF5911">
      <w:pPr>
        <w:ind w:firstLine="708"/>
        <w:jc w:val="both"/>
      </w:pPr>
      <w:r>
        <w:t>5.</w:t>
      </w:r>
      <w:r w:rsidR="00FF5911">
        <w:t xml:space="preserve"> </w:t>
      </w:r>
      <w:r>
        <w:t xml:space="preserve">Назначить лицом, ответственным за анализ отчетов, подготовку ежедневного доклада  в областной оперативный штаб по недопущению  завоза и распространения  </w:t>
      </w:r>
      <w:proofErr w:type="spellStart"/>
      <w:r>
        <w:t>коронавирусной</w:t>
      </w:r>
      <w:proofErr w:type="spellEnd"/>
      <w:r>
        <w:t xml:space="preserve"> инфекции на территории Магаданской области</w:t>
      </w:r>
      <w:r w:rsidR="0086482A">
        <w:t xml:space="preserve"> (далее – областной штаб)</w:t>
      </w:r>
      <w:r w:rsidR="003D0CA9">
        <w:t xml:space="preserve">, </w:t>
      </w:r>
      <w:r>
        <w:t xml:space="preserve">заместителя главы администрации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AB6EDE" w:rsidRDefault="00AB6EDE" w:rsidP="00FF5911">
      <w:pPr>
        <w:ind w:firstLine="708"/>
        <w:jc w:val="both"/>
      </w:pPr>
      <w:r>
        <w:t>6. Ответ</w:t>
      </w:r>
      <w:r w:rsidR="00FF5911">
        <w:t>ственному лицу (</w:t>
      </w:r>
      <w:proofErr w:type="spellStart"/>
      <w:r w:rsidR="00FF5911">
        <w:t>Партолина</w:t>
      </w:r>
      <w:proofErr w:type="spellEnd"/>
      <w:r w:rsidR="00FF5911">
        <w:t xml:space="preserve"> </w:t>
      </w:r>
      <w:r w:rsidR="003D0CA9">
        <w:t>Л.Ф.</w:t>
      </w:r>
      <w:r>
        <w:t>):</w:t>
      </w:r>
    </w:p>
    <w:p w:rsidR="00AB6EDE" w:rsidRPr="001A38A8" w:rsidRDefault="00AB6EDE" w:rsidP="00FF5911">
      <w:pPr>
        <w:ind w:firstLine="708"/>
        <w:jc w:val="both"/>
      </w:pPr>
      <w:r>
        <w:t>6.1.</w:t>
      </w:r>
      <w:r w:rsidR="0086482A">
        <w:t xml:space="preserve"> Проводить ежедневный анализ </w:t>
      </w:r>
      <w:r w:rsidR="00136740">
        <w:t>отчетов о рейдовых мероприятиях</w:t>
      </w:r>
      <w:r w:rsidR="0086482A">
        <w:t xml:space="preserve">, предоставлять проект докладной записки </w:t>
      </w:r>
      <w:r w:rsidR="00195DB1">
        <w:t xml:space="preserve">о выявленных нарушениях </w:t>
      </w:r>
      <w:r w:rsidR="0086482A">
        <w:t xml:space="preserve">главе  </w:t>
      </w:r>
      <w:proofErr w:type="spellStart"/>
      <w:r w:rsidR="0086482A">
        <w:t>Сусуманского</w:t>
      </w:r>
      <w:proofErr w:type="spellEnd"/>
      <w:r w:rsidR="0086482A">
        <w:t xml:space="preserve"> городского округа для последующего </w:t>
      </w:r>
      <w:r w:rsidR="00195DB1">
        <w:t>направления в об</w:t>
      </w:r>
      <w:r w:rsidR="003D0CA9">
        <w:t xml:space="preserve">ластной штаб </w:t>
      </w:r>
      <w:r w:rsidR="001A38A8">
        <w:t xml:space="preserve">и </w:t>
      </w:r>
      <w:r w:rsidR="001A38A8" w:rsidRPr="001A38A8">
        <w:t>профильные органы исполнительной власти Магаданской области</w:t>
      </w:r>
      <w:r w:rsidR="001A38A8">
        <w:t>.</w:t>
      </w:r>
    </w:p>
    <w:p w:rsidR="009B5879" w:rsidRDefault="009B5879" w:rsidP="00FF5911">
      <w:pPr>
        <w:ind w:firstLine="708"/>
        <w:jc w:val="both"/>
      </w:pPr>
      <w:r>
        <w:t>7.</w:t>
      </w:r>
      <w:r w:rsidR="00FF5911">
        <w:t xml:space="preserve"> Насто</w:t>
      </w:r>
      <w:r>
        <w:t xml:space="preserve">ящее постановление подлежит  опубликованию и размещению на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D60FC4" w:rsidRDefault="009B5879" w:rsidP="00FF5911">
      <w:pPr>
        <w:ind w:firstLine="708"/>
        <w:jc w:val="both"/>
      </w:pPr>
      <w:r>
        <w:t>8</w:t>
      </w:r>
      <w:r w:rsidR="00195DB1">
        <w:t>.</w:t>
      </w:r>
      <w:r w:rsidR="00FF5911">
        <w:t xml:space="preserve"> </w:t>
      </w:r>
      <w:proofErr w:type="gramStart"/>
      <w:r w:rsidR="00195DB1">
        <w:t>Контроль за</w:t>
      </w:r>
      <w:proofErr w:type="gramEnd"/>
      <w:r w:rsidR="00195DB1">
        <w:t xml:space="preserve"> исполнением настоящего постановления оставляю за собой.</w:t>
      </w:r>
    </w:p>
    <w:p w:rsidR="00195DB1" w:rsidRDefault="00195DB1" w:rsidP="00D60FC4">
      <w:pPr>
        <w:jc w:val="both"/>
      </w:pPr>
    </w:p>
    <w:p w:rsidR="00FF5911" w:rsidRDefault="00FF5911" w:rsidP="00D60FC4">
      <w:pPr>
        <w:jc w:val="both"/>
      </w:pPr>
    </w:p>
    <w:p w:rsidR="00FF5911" w:rsidRDefault="00FF5911" w:rsidP="00D60FC4">
      <w:pPr>
        <w:jc w:val="both"/>
      </w:pPr>
    </w:p>
    <w:p w:rsidR="00195DB1" w:rsidRDefault="00195DB1" w:rsidP="00D60FC4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</w:t>
      </w:r>
      <w:r w:rsidR="00327501">
        <w:t xml:space="preserve">            </w:t>
      </w:r>
      <w:r>
        <w:t xml:space="preserve"> А.В.</w:t>
      </w:r>
      <w:r w:rsidR="00FF5911">
        <w:t xml:space="preserve"> </w:t>
      </w:r>
      <w:r>
        <w:t>Лобов</w:t>
      </w:r>
    </w:p>
    <w:p w:rsidR="00195DB1" w:rsidRPr="00FF5911" w:rsidRDefault="00195DB1" w:rsidP="00963F7F">
      <w:pPr>
        <w:jc w:val="right"/>
        <w:rPr>
          <w:sz w:val="22"/>
          <w:szCs w:val="22"/>
        </w:rPr>
      </w:pPr>
      <w:r w:rsidRPr="00FF5911">
        <w:rPr>
          <w:sz w:val="22"/>
          <w:szCs w:val="22"/>
        </w:rPr>
        <w:lastRenderedPageBreak/>
        <w:t xml:space="preserve">Приложение №1 </w:t>
      </w:r>
    </w:p>
    <w:p w:rsidR="00195DB1" w:rsidRPr="00FF5911" w:rsidRDefault="00195DB1" w:rsidP="00195DB1">
      <w:pPr>
        <w:jc w:val="right"/>
        <w:rPr>
          <w:sz w:val="22"/>
          <w:szCs w:val="22"/>
        </w:rPr>
      </w:pPr>
      <w:r w:rsidRPr="00FF5911">
        <w:rPr>
          <w:sz w:val="22"/>
          <w:szCs w:val="22"/>
        </w:rPr>
        <w:t>к постановлению администрации</w:t>
      </w:r>
    </w:p>
    <w:p w:rsidR="00195DB1" w:rsidRPr="00FF5911" w:rsidRDefault="00195DB1" w:rsidP="00195DB1">
      <w:pPr>
        <w:jc w:val="right"/>
        <w:rPr>
          <w:sz w:val="22"/>
          <w:szCs w:val="22"/>
        </w:rPr>
      </w:pPr>
      <w:proofErr w:type="spellStart"/>
      <w:r w:rsidRPr="00FF5911">
        <w:rPr>
          <w:sz w:val="22"/>
          <w:szCs w:val="22"/>
        </w:rPr>
        <w:t>Сусуманского</w:t>
      </w:r>
      <w:proofErr w:type="spellEnd"/>
      <w:r w:rsidRPr="00FF5911">
        <w:rPr>
          <w:sz w:val="22"/>
          <w:szCs w:val="22"/>
        </w:rPr>
        <w:t xml:space="preserve"> городского округа </w:t>
      </w:r>
    </w:p>
    <w:p w:rsidR="00195DB1" w:rsidRPr="00FF5911" w:rsidRDefault="00195DB1" w:rsidP="00195DB1">
      <w:pPr>
        <w:jc w:val="right"/>
        <w:rPr>
          <w:sz w:val="22"/>
          <w:szCs w:val="22"/>
        </w:rPr>
      </w:pPr>
      <w:r w:rsidRPr="00FF5911">
        <w:rPr>
          <w:sz w:val="22"/>
          <w:szCs w:val="22"/>
        </w:rPr>
        <w:t xml:space="preserve">от </w:t>
      </w:r>
      <w:r w:rsidR="003D0CA9" w:rsidRPr="00FF5911">
        <w:rPr>
          <w:sz w:val="22"/>
          <w:szCs w:val="22"/>
        </w:rPr>
        <w:t>24.04.</w:t>
      </w:r>
      <w:r w:rsidR="00FF5911" w:rsidRPr="00FF5911">
        <w:rPr>
          <w:sz w:val="22"/>
          <w:szCs w:val="22"/>
        </w:rPr>
        <w:t>2020 г. №  206</w:t>
      </w:r>
    </w:p>
    <w:p w:rsidR="00195DB1" w:rsidRDefault="00195DB1" w:rsidP="00195DB1">
      <w:pPr>
        <w:jc w:val="center"/>
      </w:pPr>
    </w:p>
    <w:p w:rsidR="00195DB1" w:rsidRDefault="00195DB1" w:rsidP="00195DB1">
      <w:pPr>
        <w:jc w:val="center"/>
      </w:pPr>
      <w:r>
        <w:t xml:space="preserve">СОСТАВ </w:t>
      </w:r>
    </w:p>
    <w:p w:rsidR="00963F7F" w:rsidRDefault="00195DB1" w:rsidP="00963F7F">
      <w:pPr>
        <w:jc w:val="center"/>
      </w:pPr>
      <w:r>
        <w:t>основных и резервных групп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center"/>
              <w:rPr>
                <w:lang w:eastAsia="en-US"/>
              </w:rPr>
            </w:pPr>
            <w:r>
              <w:t>Руководитель группы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center"/>
              <w:rPr>
                <w:lang w:eastAsia="en-US"/>
              </w:rPr>
            </w:pPr>
            <w:r>
              <w:t>Состав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I (</w:t>
            </w:r>
            <w:proofErr w:type="spellStart"/>
            <w:r>
              <w:rPr>
                <w:lang w:val="en-US"/>
              </w:rPr>
              <w:t>основной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состав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r>
              <w:t>Федоров Андрей Владимирович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</w:pPr>
            <w:r>
              <w:t xml:space="preserve">Матвиенко Николай Никифорович </w:t>
            </w:r>
          </w:p>
          <w:p w:rsidR="00963F7F" w:rsidRDefault="00963F7F">
            <w:pPr>
              <w:contextualSpacing/>
              <w:jc w:val="both"/>
            </w:pPr>
            <w:r>
              <w:t>(по согласованию)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r>
              <w:t xml:space="preserve"> Малахов Владимир Петрович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I (</w:t>
            </w:r>
            <w:r>
              <w:t xml:space="preserve">резервный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состав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F" w:rsidRDefault="00963F7F">
            <w:pPr>
              <w:contextualSpacing/>
              <w:jc w:val="both"/>
            </w:pPr>
            <w:r>
              <w:t>Ковтун Евгений Петрович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</w:pPr>
            <w:proofErr w:type="spellStart"/>
            <w:r>
              <w:t>Буровина</w:t>
            </w:r>
            <w:proofErr w:type="spellEnd"/>
            <w:r>
              <w:t xml:space="preserve"> Ирина Васильевна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r>
              <w:t>Коваль Оксана Юрьевна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II</w:t>
            </w:r>
            <w:r>
              <w:t xml:space="preserve"> (основной   состав) 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  <w:r>
              <w:t>Власенко Александр Станиславович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F" w:rsidRDefault="00963F7F">
            <w:pPr>
              <w:contextualSpacing/>
              <w:jc w:val="both"/>
            </w:pPr>
            <w:r>
              <w:t>Липка Михаил Витальевич</w:t>
            </w:r>
          </w:p>
          <w:p w:rsidR="00963F7F" w:rsidRDefault="00963F7F">
            <w:pPr>
              <w:contextualSpacing/>
              <w:jc w:val="both"/>
            </w:pPr>
            <w:r>
              <w:t>Липка Мария Валерьевна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II</w:t>
            </w:r>
            <w:r>
              <w:t xml:space="preserve"> (резервный  состав)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  <w:r>
              <w:t>Донченко Андрей  Вадимович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jc w:val="both"/>
            </w:pPr>
            <w:r>
              <w:t>Моисеенко Татьяна Геннадьевна</w:t>
            </w:r>
          </w:p>
          <w:p w:rsidR="00963F7F" w:rsidRDefault="00136740">
            <w:pPr>
              <w:jc w:val="both"/>
              <w:rPr>
                <w:lang w:eastAsia="en-US"/>
              </w:rPr>
            </w:pPr>
            <w:r>
              <w:t xml:space="preserve"> </w:t>
            </w:r>
            <w:proofErr w:type="spellStart"/>
            <w:r w:rsidR="00963F7F">
              <w:t>Фамильнова</w:t>
            </w:r>
            <w:proofErr w:type="spellEnd"/>
            <w:r w:rsidR="00963F7F">
              <w:t xml:space="preserve"> Юлия Васильевна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jc w:val="center"/>
              <w:rPr>
                <w:lang w:val="en-US"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III</w:t>
            </w:r>
            <w:r>
              <w:t>(основной   состав)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both"/>
              <w:rPr>
                <w:lang w:val="en-US" w:eastAsia="en-US"/>
              </w:rPr>
            </w:pPr>
            <w:r>
              <w:t xml:space="preserve"> Сорока Александр Владимирович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F" w:rsidRDefault="00963F7F">
            <w:pPr>
              <w:contextualSpacing/>
              <w:jc w:val="both"/>
            </w:pPr>
            <w:r>
              <w:t>Степанченко Оксана Владимировна</w:t>
            </w:r>
          </w:p>
          <w:p w:rsidR="00963F7F" w:rsidRDefault="00963F7F">
            <w:pPr>
              <w:contextualSpacing/>
              <w:jc w:val="both"/>
            </w:pPr>
            <w:r>
              <w:t xml:space="preserve"> Дегтярева Ирина Борисовна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III</w:t>
            </w:r>
            <w:r>
              <w:t>(резервный   состав)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  <w:r>
              <w:t>Пятов Евгений Николаевич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</w:pPr>
            <w:proofErr w:type="spellStart"/>
            <w:r>
              <w:t>Мановицкая</w:t>
            </w:r>
            <w:proofErr w:type="spellEnd"/>
            <w:r>
              <w:t xml:space="preserve"> Екатерина Николаевна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t>Скопинцева</w:t>
            </w:r>
            <w:proofErr w:type="spellEnd"/>
            <w:r>
              <w:t xml:space="preserve"> Вера Павловна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IV</w:t>
            </w:r>
            <w:r>
              <w:t>(основной   состав)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  <w:proofErr w:type="spellStart"/>
            <w:r>
              <w:t>Заикин</w:t>
            </w:r>
            <w:proofErr w:type="spellEnd"/>
            <w:r>
              <w:t xml:space="preserve"> Игорь Сергеевич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r>
              <w:t>Лукина Вероника Ивановна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r>
              <w:t xml:space="preserve"> Фомина Марина Николаевна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IV</w:t>
            </w:r>
            <w:r>
              <w:t>(резервный    состав)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F" w:rsidRDefault="00963F7F">
            <w:pPr>
              <w:jc w:val="both"/>
            </w:pPr>
            <w:proofErr w:type="spellStart"/>
            <w:r>
              <w:t>Кватернюк</w:t>
            </w:r>
            <w:proofErr w:type="spellEnd"/>
            <w:r>
              <w:t xml:space="preserve"> Светлана Сергеевна</w:t>
            </w:r>
          </w:p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</w:pPr>
            <w:r>
              <w:t>Баранова Виктория Владимировна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r>
              <w:t>Пономаренко Николай  Николаевич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V</w:t>
            </w:r>
            <w:r>
              <w:t>(основной   состав)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  <w:proofErr w:type="spellStart"/>
            <w:r>
              <w:t>Парасоцкая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136740">
            <w:pPr>
              <w:contextualSpacing/>
              <w:jc w:val="both"/>
              <w:rPr>
                <w:lang w:eastAsia="en-US"/>
              </w:rPr>
            </w:pPr>
            <w:r>
              <w:t>Ф</w:t>
            </w:r>
            <w:r w:rsidR="00963F7F">
              <w:t>едотов Константин Анатольевич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Куракова</w:t>
            </w:r>
            <w:proofErr w:type="spellEnd"/>
            <w:r>
              <w:t xml:space="preserve"> Ирина Ивановна 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V</w:t>
            </w:r>
            <w:r>
              <w:t>(резервный   состав)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  <w:proofErr w:type="spellStart"/>
            <w:r>
              <w:t>Партолина</w:t>
            </w:r>
            <w:proofErr w:type="spellEnd"/>
            <w:r>
              <w:t xml:space="preserve"> Людмила Федоровна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t>Чепурная</w:t>
            </w:r>
            <w:proofErr w:type="spellEnd"/>
            <w:r>
              <w:t xml:space="preserve"> Ирина Викторовна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r>
              <w:t>Аввакумов Алексей Владимирович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VI</w:t>
            </w:r>
            <w:r>
              <w:t>(основной   состав)</w:t>
            </w:r>
          </w:p>
        </w:tc>
      </w:tr>
      <w:tr w:rsidR="00963F7F" w:rsidTr="00963F7F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  <w:r>
              <w:t>Власова Эльвира Александровна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</w:pPr>
            <w:proofErr w:type="spellStart"/>
            <w:r>
              <w:t>Обвинцева</w:t>
            </w:r>
            <w:proofErr w:type="spellEnd"/>
            <w:r>
              <w:t xml:space="preserve"> Татьяна Геннадьевна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r>
              <w:t>Крамаренко Тамара Владимировна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VI</w:t>
            </w:r>
            <w:r>
              <w:t>(резервный    состав)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spacing w:after="100" w:afterAutospacing="1"/>
              <w:jc w:val="both"/>
              <w:rPr>
                <w:lang w:eastAsia="en-US"/>
              </w:rPr>
            </w:pPr>
            <w:r>
              <w:t>Крамаренко Ирина Петровна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</w:pPr>
            <w:r>
              <w:t>Чернова Лидия Николаевна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t>Леничева</w:t>
            </w:r>
            <w:proofErr w:type="spellEnd"/>
            <w:r>
              <w:t xml:space="preserve"> Юлия Николаевна</w:t>
            </w:r>
          </w:p>
        </w:tc>
      </w:tr>
      <w:tr w:rsidR="00963F7F" w:rsidTr="00963F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center"/>
              <w:rPr>
                <w:lang w:eastAsia="en-US"/>
              </w:rPr>
            </w:pPr>
            <w:r>
              <w:t xml:space="preserve">Группа </w:t>
            </w:r>
            <w:r>
              <w:rPr>
                <w:lang w:val="en-US"/>
              </w:rPr>
              <w:t>VII</w:t>
            </w:r>
            <w:r>
              <w:t xml:space="preserve"> (основной   состав)</w:t>
            </w:r>
          </w:p>
        </w:tc>
      </w:tr>
      <w:tr w:rsidR="00963F7F" w:rsidTr="00963F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 w:rsidP="00136740">
            <w:pPr>
              <w:spacing w:after="100" w:afterAutospacing="1"/>
              <w:rPr>
                <w:lang w:eastAsia="en-US"/>
              </w:rPr>
            </w:pPr>
            <w:proofErr w:type="spellStart"/>
            <w:r>
              <w:t>Цуберт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F" w:rsidRDefault="00963F7F">
            <w:pPr>
              <w:contextualSpacing/>
              <w:jc w:val="both"/>
            </w:pPr>
            <w:proofErr w:type="spellStart"/>
            <w:r>
              <w:t>Боргояков</w:t>
            </w:r>
            <w:proofErr w:type="spellEnd"/>
            <w:r>
              <w:t xml:space="preserve"> Андрей Николаевич</w:t>
            </w:r>
          </w:p>
          <w:p w:rsidR="00963F7F" w:rsidRDefault="00963F7F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t>Гаваза</w:t>
            </w:r>
            <w:proofErr w:type="spellEnd"/>
            <w:r>
              <w:t xml:space="preserve"> Надежда Валерьевна</w:t>
            </w:r>
          </w:p>
        </w:tc>
      </w:tr>
    </w:tbl>
    <w:p w:rsidR="00195DB1" w:rsidRDefault="00195DB1" w:rsidP="00195DB1">
      <w:pPr>
        <w:jc w:val="right"/>
      </w:pPr>
    </w:p>
    <w:p w:rsidR="009351D5" w:rsidRDefault="009351D5" w:rsidP="00AA52C9">
      <w:pPr>
        <w:jc w:val="right"/>
        <w:rPr>
          <w:sz w:val="22"/>
          <w:szCs w:val="22"/>
        </w:rPr>
      </w:pPr>
    </w:p>
    <w:p w:rsidR="00AA52C9" w:rsidRPr="00FF5911" w:rsidRDefault="00AA52C9" w:rsidP="00AA52C9">
      <w:pPr>
        <w:jc w:val="right"/>
        <w:rPr>
          <w:sz w:val="22"/>
          <w:szCs w:val="22"/>
        </w:rPr>
      </w:pPr>
      <w:r w:rsidRPr="00FF5911">
        <w:rPr>
          <w:sz w:val="22"/>
          <w:szCs w:val="22"/>
        </w:rPr>
        <w:lastRenderedPageBreak/>
        <w:t>Приложение №</w:t>
      </w:r>
      <w:r w:rsidR="00FF5911" w:rsidRPr="00FF5911">
        <w:rPr>
          <w:sz w:val="22"/>
          <w:szCs w:val="22"/>
        </w:rPr>
        <w:t xml:space="preserve"> </w:t>
      </w:r>
      <w:r w:rsidRPr="00FF5911">
        <w:rPr>
          <w:sz w:val="22"/>
          <w:szCs w:val="22"/>
        </w:rPr>
        <w:t xml:space="preserve">2 </w:t>
      </w:r>
    </w:p>
    <w:p w:rsidR="00AA52C9" w:rsidRPr="00FF5911" w:rsidRDefault="00AA52C9" w:rsidP="00AA52C9">
      <w:pPr>
        <w:jc w:val="right"/>
        <w:rPr>
          <w:sz w:val="22"/>
          <w:szCs w:val="22"/>
        </w:rPr>
      </w:pPr>
      <w:r w:rsidRPr="00FF5911">
        <w:rPr>
          <w:sz w:val="22"/>
          <w:szCs w:val="22"/>
        </w:rPr>
        <w:t>к постановлению администрации</w:t>
      </w:r>
    </w:p>
    <w:p w:rsidR="00AA52C9" w:rsidRPr="00FF5911" w:rsidRDefault="00AA52C9" w:rsidP="00AA52C9">
      <w:pPr>
        <w:jc w:val="right"/>
        <w:rPr>
          <w:sz w:val="22"/>
          <w:szCs w:val="22"/>
        </w:rPr>
      </w:pPr>
      <w:proofErr w:type="spellStart"/>
      <w:r w:rsidRPr="00FF5911">
        <w:rPr>
          <w:sz w:val="22"/>
          <w:szCs w:val="22"/>
        </w:rPr>
        <w:t>Сусуманского</w:t>
      </w:r>
      <w:proofErr w:type="spellEnd"/>
      <w:r w:rsidRPr="00FF5911">
        <w:rPr>
          <w:sz w:val="22"/>
          <w:szCs w:val="22"/>
        </w:rPr>
        <w:t xml:space="preserve"> городского округа </w:t>
      </w:r>
    </w:p>
    <w:p w:rsidR="00AA52C9" w:rsidRPr="00FF5911" w:rsidRDefault="003D0CA9" w:rsidP="00AA52C9">
      <w:pPr>
        <w:jc w:val="right"/>
        <w:rPr>
          <w:sz w:val="22"/>
          <w:szCs w:val="22"/>
        </w:rPr>
      </w:pPr>
      <w:r w:rsidRPr="00FF5911">
        <w:rPr>
          <w:sz w:val="22"/>
          <w:szCs w:val="22"/>
        </w:rPr>
        <w:t>от 24</w:t>
      </w:r>
      <w:r w:rsidR="00FF5911" w:rsidRPr="00FF5911">
        <w:rPr>
          <w:sz w:val="22"/>
          <w:szCs w:val="22"/>
        </w:rPr>
        <w:t>.04.2020 г. № 206</w:t>
      </w: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Отчет о результатах дежурства группы контроля</w:t>
      </w: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69"/>
        <w:gridCol w:w="3260"/>
        <w:gridCol w:w="2584"/>
      </w:tblGrid>
      <w:tr w:rsidR="00AA52C9" w:rsidTr="00AA52C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 нарушения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выявленном нарушении</w:t>
            </w:r>
          </w:p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граждан, наименование организации, адрес выявленных нарушений и т.д.)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AA52C9" w:rsidTr="00AA52C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Факты нахождения групп несовершеннолетних граждан в общественных местах (численность групп)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Факты нахождения несовершеннолетних детей без присмотра родителей (законных представителей) в общественных местах, общественном транспорте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bookmarkStart w:id="1" w:name="_GoBack"/>
        <w:bookmarkEnd w:id="1"/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Факты совершения противоправных действий и вид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Места расположения контейнеров, переполненных твердыми коммунальными отходами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Организации, не исполняющие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Организации, осуществляющие спортивную, оздоровительную деятельность, а также оказывающие спортивно-оздоровительные услуги населению, не исполняющие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Объекты розничной торговли,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не исполняющие установленные ограничительные мероприятия, за исключением объектов розничной торговли, деятельность которых не приостановлена постановлением Правительства Магаданской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от 31 марта 2020 г. № 215-пп,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в том числе реализующие продовольственные и непродовольственные товары первой необходимости, не включенные в рекомендуемый перечень непродовольственных товаров первой необходимости, утвержденный распоряжением Правительства Российской Федерации от 27 марта 2020 г. № 762-р, и в перечень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непродовольственных товаров первой необходимости, утвержденный постановлением Правительства Магаданской области от 31 марта 2020 г.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№ 215-пп «О мерах по предотвращению распространения новой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инфекции (COVID-19)» (заполняется в соответствии с приложением </w:t>
            </w:r>
            <w:proofErr w:type="gramEnd"/>
          </w:p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№ 3 к Положению)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Организации, осуществляющие деятельность в сфере общественного питания, за исключением обслуживания на вынос без посещения гражданами помещений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общественного питания, доставки заказов, а также организаций питания, осуществляющих организацию питания для работников организаций, не исполняющие установленные ограничительные мероприятия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Развлекательные и досуговые заведения, не исполняющие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52C9" w:rsidTr="00AA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Религиозные организации, на территории которых не исполняются установленные ограничительные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9" w:rsidRDefault="00AA52C9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AA52C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2C9" w:rsidRDefault="00AA52C9" w:rsidP="00963F7F">
      <w:pPr>
        <w:jc w:val="center"/>
        <w:sectPr w:rsidR="00AA5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CA9" w:rsidRPr="00FF5911" w:rsidRDefault="003D0CA9" w:rsidP="003D0CA9">
      <w:pPr>
        <w:jc w:val="right"/>
        <w:rPr>
          <w:sz w:val="22"/>
          <w:szCs w:val="22"/>
        </w:rPr>
      </w:pPr>
      <w:r w:rsidRPr="00FF5911">
        <w:rPr>
          <w:sz w:val="22"/>
          <w:szCs w:val="22"/>
        </w:rPr>
        <w:lastRenderedPageBreak/>
        <w:t xml:space="preserve">Приложение № 3 </w:t>
      </w:r>
    </w:p>
    <w:p w:rsidR="003D0CA9" w:rsidRPr="00FF5911" w:rsidRDefault="003D0CA9" w:rsidP="003D0CA9">
      <w:pPr>
        <w:jc w:val="right"/>
        <w:rPr>
          <w:sz w:val="22"/>
          <w:szCs w:val="22"/>
        </w:rPr>
      </w:pPr>
      <w:r w:rsidRPr="00FF5911">
        <w:rPr>
          <w:sz w:val="22"/>
          <w:szCs w:val="22"/>
        </w:rPr>
        <w:t>к постановлению администрации</w:t>
      </w:r>
    </w:p>
    <w:p w:rsidR="003D0CA9" w:rsidRPr="00FF5911" w:rsidRDefault="003D0CA9" w:rsidP="003D0CA9">
      <w:pPr>
        <w:jc w:val="right"/>
        <w:rPr>
          <w:sz w:val="22"/>
          <w:szCs w:val="22"/>
        </w:rPr>
      </w:pPr>
      <w:proofErr w:type="spellStart"/>
      <w:r w:rsidRPr="00FF5911">
        <w:rPr>
          <w:sz w:val="22"/>
          <w:szCs w:val="22"/>
        </w:rPr>
        <w:t>Сусуманского</w:t>
      </w:r>
      <w:proofErr w:type="spellEnd"/>
      <w:r w:rsidRPr="00FF5911">
        <w:rPr>
          <w:sz w:val="22"/>
          <w:szCs w:val="22"/>
        </w:rPr>
        <w:t xml:space="preserve"> городского округа </w:t>
      </w:r>
    </w:p>
    <w:p w:rsidR="003D0CA9" w:rsidRPr="00FF5911" w:rsidRDefault="00FF5911" w:rsidP="003D0CA9">
      <w:pPr>
        <w:jc w:val="right"/>
        <w:rPr>
          <w:sz w:val="22"/>
          <w:szCs w:val="22"/>
        </w:rPr>
      </w:pPr>
      <w:r w:rsidRPr="00FF5911">
        <w:rPr>
          <w:sz w:val="22"/>
          <w:szCs w:val="22"/>
        </w:rPr>
        <w:t>от 24.04.2020 г. № 206</w:t>
      </w:r>
    </w:p>
    <w:p w:rsidR="003D0CA9" w:rsidRDefault="003D0CA9" w:rsidP="003D0CA9">
      <w:pPr>
        <w:jc w:val="center"/>
      </w:pPr>
    </w:p>
    <w:p w:rsidR="003D0CA9" w:rsidRDefault="003D0CA9" w:rsidP="003D0CA9">
      <w:pPr>
        <w:jc w:val="right"/>
        <w:rPr>
          <w:rFonts w:eastAsiaTheme="minorHAnsi"/>
          <w:sz w:val="28"/>
          <w:szCs w:val="28"/>
          <w:lang w:eastAsia="en-US"/>
        </w:rPr>
      </w:pPr>
    </w:p>
    <w:p w:rsidR="00277179" w:rsidRDefault="00277179" w:rsidP="0027717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Лист обследования торгового объекта</w:t>
      </w:r>
    </w:p>
    <w:p w:rsidR="00277179" w:rsidRDefault="00277179" w:rsidP="00277179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(на соответствие требованиям постановления Правительства Магаданской области от 31 марта 2020 г.№ 215-пп </w:t>
      </w:r>
      <w:r>
        <w:rPr>
          <w:rFonts w:eastAsiaTheme="minorHAnsi"/>
          <w:sz w:val="28"/>
          <w:szCs w:val="28"/>
          <w:lang w:eastAsia="en-US"/>
        </w:rPr>
        <w:br/>
        <w:t xml:space="preserve">«О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Theme="minorHAnsi"/>
          <w:sz w:val="28"/>
          <w:szCs w:val="28"/>
          <w:lang w:val="en-US" w:eastAsia="en-US"/>
        </w:rPr>
        <w:t>COVID</w:t>
      </w:r>
      <w:r>
        <w:rPr>
          <w:rFonts w:eastAsiaTheme="minorHAnsi"/>
          <w:sz w:val="28"/>
          <w:szCs w:val="28"/>
          <w:lang w:eastAsia="en-US"/>
        </w:rPr>
        <w:t>-19)»</w:t>
      </w:r>
      <w:proofErr w:type="gramEnd"/>
    </w:p>
    <w:p w:rsidR="00277179" w:rsidRDefault="00277179" w:rsidP="0027717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(по контролируемым позициям </w:t>
      </w:r>
      <w:proofErr w:type="gramStart"/>
      <w:r>
        <w:rPr>
          <w:rFonts w:eastAsiaTheme="minorHAnsi"/>
          <w:sz w:val="28"/>
          <w:szCs w:val="28"/>
          <w:lang w:eastAsia="en-US"/>
        </w:rPr>
        <w:t>указывается ДА/НЕТ</w:t>
      </w:r>
      <w:proofErr w:type="gramEnd"/>
      <w:r>
        <w:rPr>
          <w:rFonts w:eastAsiaTheme="minorHAnsi"/>
          <w:sz w:val="28"/>
          <w:szCs w:val="28"/>
          <w:lang w:eastAsia="en-US"/>
        </w:rPr>
        <w:t>, при необходимости пояснения)</w:t>
      </w:r>
    </w:p>
    <w:p w:rsidR="00277179" w:rsidRDefault="00277179" w:rsidP="00277179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5960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513"/>
        <w:gridCol w:w="1560"/>
        <w:gridCol w:w="1843"/>
        <w:gridCol w:w="2780"/>
        <w:gridCol w:w="1300"/>
        <w:gridCol w:w="1306"/>
        <w:gridCol w:w="1413"/>
        <w:gridCol w:w="1183"/>
        <w:gridCol w:w="1300"/>
        <w:gridCol w:w="946"/>
        <w:gridCol w:w="1580"/>
        <w:gridCol w:w="236"/>
      </w:tblGrid>
      <w:tr w:rsidR="00277179" w:rsidTr="00277179">
        <w:trPr>
          <w:trHeight w:val="28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Дата проведения обследования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ФИО, </w:t>
            </w:r>
            <w:proofErr w:type="gramStart"/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проводящего</w:t>
            </w:r>
            <w:proofErr w:type="gramEnd"/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обследование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 торгового объекта, адрес, специализация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Организация,</w:t>
            </w:r>
          </w:p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ИП 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Контролируемые позиции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7179" w:rsidTr="00277179">
        <w:trPr>
          <w:trHeight w:val="8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9" w:rsidRDefault="00277179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9" w:rsidRDefault="00277179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9" w:rsidRDefault="00277179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9" w:rsidRDefault="00277179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9" w:rsidRDefault="00277179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наличие разметки, объявлений о </w:t>
            </w:r>
            <w:proofErr w:type="gramStart"/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социальном</w:t>
            </w:r>
            <w:proofErr w:type="gramEnd"/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дистанцировании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ежедневный «входной фильтр», контроль температуры тела работников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обработка рук антисептиками, дезинфицирующими средствами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обеспечение средствами защиты органов дыхания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обеспечение перчатками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79" w:rsidRDefault="00277179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проведение влажной уборки с применением дезинфицирующих средств 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179" w:rsidRDefault="0027717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7179" w:rsidTr="00277179">
        <w:trPr>
          <w:trHeight w:val="3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179" w:rsidRDefault="0027717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7179" w:rsidTr="0027717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179" w:rsidRDefault="0027717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7179" w:rsidTr="0027717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9" w:rsidRDefault="002771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179" w:rsidRDefault="0027717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77179" w:rsidRDefault="00277179" w:rsidP="00277179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179" w:rsidRDefault="00277179" w:rsidP="00277179">
      <w:pPr>
        <w:pStyle w:val="aa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 </w:t>
      </w:r>
    </w:p>
    <w:p w:rsidR="00963F7F" w:rsidRDefault="00963F7F" w:rsidP="00963F7F">
      <w:pPr>
        <w:jc w:val="center"/>
      </w:pPr>
    </w:p>
    <w:sectPr w:rsidR="00963F7F" w:rsidSect="00AA5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B1"/>
    <w:rsid w:val="00136740"/>
    <w:rsid w:val="00195DB1"/>
    <w:rsid w:val="001A38A8"/>
    <w:rsid w:val="00265450"/>
    <w:rsid w:val="00277179"/>
    <w:rsid w:val="00294083"/>
    <w:rsid w:val="00327501"/>
    <w:rsid w:val="003D0CA9"/>
    <w:rsid w:val="00684D46"/>
    <w:rsid w:val="008116B1"/>
    <w:rsid w:val="0086482A"/>
    <w:rsid w:val="009351D5"/>
    <w:rsid w:val="00963F7F"/>
    <w:rsid w:val="009B5879"/>
    <w:rsid w:val="00AA52C9"/>
    <w:rsid w:val="00AB6EDE"/>
    <w:rsid w:val="00D60FC4"/>
    <w:rsid w:val="00D927ED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45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65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265450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2654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265450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96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5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A5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45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65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265450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2654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265450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96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5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A5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D865-43BE-4E7B-A8F4-80E8B546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21</cp:revision>
  <cp:lastPrinted>2020-04-24T00:44:00Z</cp:lastPrinted>
  <dcterms:created xsi:type="dcterms:W3CDTF">2020-04-23T06:53:00Z</dcterms:created>
  <dcterms:modified xsi:type="dcterms:W3CDTF">2020-04-24T00:45:00Z</dcterms:modified>
</cp:coreProperties>
</file>