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9" w:rsidRPr="005D7701" w:rsidRDefault="008040A9" w:rsidP="0080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D7701">
        <w:rPr>
          <w:rFonts w:ascii="Times New Roman" w:eastAsia="Times New Roman" w:hAnsi="Times New Roman" w:cs="Times New Roman"/>
          <w:b/>
          <w:sz w:val="24"/>
          <w:szCs w:val="32"/>
        </w:rPr>
        <w:t>Протокол № 0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>5</w:t>
      </w:r>
    </w:p>
    <w:p w:rsidR="008040A9" w:rsidRPr="005D7701" w:rsidRDefault="008040A9" w:rsidP="008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0A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рассмотрения и оценки конкурсных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770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</w:t>
      </w:r>
    </w:p>
    <w:p w:rsidR="008040A9" w:rsidRPr="005D7701" w:rsidRDefault="008040A9" w:rsidP="008040A9">
      <w:pPr>
        <w:tabs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D770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открытом конкурсе по сообщению № 200320/0060027/01</w:t>
      </w:r>
    </w:p>
    <w:p w:rsidR="008040A9" w:rsidRPr="005D7701" w:rsidRDefault="008040A9" w:rsidP="008040A9">
      <w:pPr>
        <w:tabs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tbl>
      <w:tblPr>
        <w:tblStyle w:val="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8040A9" w:rsidRPr="005C45F7" w:rsidTr="00BD2024">
        <w:tc>
          <w:tcPr>
            <w:tcW w:w="4361" w:type="dxa"/>
          </w:tcPr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место проведения процедуры:</w:t>
            </w:r>
          </w:p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</w:p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Сусуман, ул. Советская,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</w:t>
            </w:r>
          </w:p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0A9" w:rsidRPr="005C45F7" w:rsidTr="00BD2024">
        <w:tc>
          <w:tcPr>
            <w:tcW w:w="4361" w:type="dxa"/>
            <w:hideMark/>
          </w:tcPr>
          <w:p w:rsidR="008040A9" w:rsidRPr="005C45F7" w:rsidRDefault="008040A9" w:rsidP="00BD2024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процедуры и время:</w:t>
            </w:r>
          </w:p>
        </w:tc>
        <w:tc>
          <w:tcPr>
            <w:tcW w:w="5812" w:type="dxa"/>
            <w:hideMark/>
          </w:tcPr>
          <w:p w:rsidR="008040A9" w:rsidRPr="005C45F7" w:rsidRDefault="008040A9" w:rsidP="008040A9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.08.2020 г.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часов                                                                  </w:t>
            </w:r>
          </w:p>
        </w:tc>
      </w:tr>
    </w:tbl>
    <w:p w:rsidR="008040A9" w:rsidRPr="005D7701" w:rsidRDefault="008040A9" w:rsidP="008040A9">
      <w:pPr>
        <w:tabs>
          <w:tab w:val="left" w:pos="7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8040A9" w:rsidRPr="005D7701" w:rsidRDefault="008040A9" w:rsidP="008040A9">
      <w:pPr>
        <w:tabs>
          <w:tab w:val="left" w:pos="765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01">
        <w:rPr>
          <w:rFonts w:ascii="Times New Roman" w:eastAsia="Times New Roman" w:hAnsi="Times New Roman" w:cs="Times New Roman"/>
          <w:sz w:val="24"/>
          <w:szCs w:val="24"/>
        </w:rPr>
        <w:t>1. Комиссия по проведению открытого конкурса на право заключения концессионного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>администрации Сусуманского городского округа пров</w:t>
      </w:r>
      <w:r>
        <w:rPr>
          <w:rFonts w:ascii="Times New Roman" w:eastAsia="Times New Roman" w:hAnsi="Times New Roman" w:cs="Times New Roman"/>
          <w:sz w:val="24"/>
          <w:szCs w:val="32"/>
        </w:rPr>
        <w:t>одит</w:t>
      </w:r>
      <w:r w:rsidR="00EB35E8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Pr="008040A9">
        <w:rPr>
          <w:rFonts w:ascii="Times New Roman" w:eastAsia="Times New Roman" w:hAnsi="Times New Roman" w:cs="Times New Roman"/>
          <w:sz w:val="24"/>
          <w:szCs w:val="32"/>
        </w:rPr>
        <w:t>рассмотрени</w:t>
      </w:r>
      <w:r w:rsidR="00EB35E8">
        <w:rPr>
          <w:rFonts w:ascii="Times New Roman" w:eastAsia="Times New Roman" w:hAnsi="Times New Roman" w:cs="Times New Roman"/>
          <w:sz w:val="24"/>
          <w:szCs w:val="32"/>
        </w:rPr>
        <w:t>е</w:t>
      </w:r>
      <w:r w:rsidRPr="008040A9">
        <w:rPr>
          <w:rFonts w:ascii="Times New Roman" w:eastAsia="Times New Roman" w:hAnsi="Times New Roman" w:cs="Times New Roman"/>
          <w:sz w:val="24"/>
          <w:szCs w:val="32"/>
        </w:rPr>
        <w:t xml:space="preserve"> и оценк</w:t>
      </w:r>
      <w:r w:rsidR="00EB35E8">
        <w:rPr>
          <w:rFonts w:ascii="Times New Roman" w:eastAsia="Times New Roman" w:hAnsi="Times New Roman" w:cs="Times New Roman"/>
          <w:sz w:val="24"/>
          <w:szCs w:val="32"/>
        </w:rPr>
        <w:t>у</w:t>
      </w:r>
      <w:r w:rsidRPr="008040A9">
        <w:rPr>
          <w:rFonts w:ascii="Times New Roman" w:eastAsia="Times New Roman" w:hAnsi="Times New Roman" w:cs="Times New Roman"/>
          <w:sz w:val="24"/>
          <w:szCs w:val="32"/>
        </w:rPr>
        <w:t xml:space="preserve"> конкурсных предложений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 xml:space="preserve"> на участие в конкурсе на право заключения концессионного соглашения на </w:t>
      </w:r>
      <w:r w:rsidRPr="005D7701">
        <w:rPr>
          <w:rFonts w:ascii="Times New Roman" w:eastAsia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7701">
        <w:rPr>
          <w:rFonts w:ascii="Times New Roman" w:eastAsia="Times New Roman" w:hAnsi="Times New Roman" w:cs="Times New Roman"/>
          <w:bCs/>
          <w:sz w:val="24"/>
          <w:szCs w:val="24"/>
        </w:rPr>
        <w:t>теплоснабжения, централизованных систем горячего водоснабжения, холодного водоснабжения и</w:t>
      </w:r>
      <w:r w:rsidR="00EB35E8" w:rsidRPr="00FB228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водоотведения, а также отдельных объектов таких систем, расположенные на территории г. Сусумана Магаданской области</w:t>
      </w:r>
      <w:r w:rsidR="00EB35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40A9" w:rsidRPr="00EB35E8" w:rsidRDefault="00EB35E8" w:rsidP="00EB35E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32"/>
        </w:rPr>
        <w:tab/>
      </w:r>
      <w:r w:rsidR="008040A9" w:rsidRPr="005D7701">
        <w:rPr>
          <w:rFonts w:ascii="Times New Roman" w:eastAsia="Times New Roman" w:hAnsi="Times New Roman" w:cs="Times New Roman"/>
          <w:sz w:val="24"/>
          <w:szCs w:val="32"/>
        </w:rPr>
        <w:t xml:space="preserve">2. </w:t>
      </w:r>
      <w:r w:rsidRPr="00EB35E8">
        <w:rPr>
          <w:rFonts w:ascii="yandex-sans" w:eastAsia="Times New Roman" w:hAnsi="yandex-sans" w:cs="Times New Roman"/>
          <w:color w:val="000000"/>
          <w:sz w:val="23"/>
          <w:szCs w:val="23"/>
        </w:rPr>
        <w:t>На заседании конкурсной комиссии по рассмотрению и оценке конкурсных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предложений присутствовали: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980"/>
      </w:tblGrid>
      <w:tr w:rsidR="008040A9" w:rsidRPr="005D7701" w:rsidTr="00F67AF2">
        <w:tc>
          <w:tcPr>
            <w:tcW w:w="4518" w:type="dxa"/>
            <w:hideMark/>
          </w:tcPr>
          <w:p w:rsidR="008040A9" w:rsidRPr="005D7701" w:rsidRDefault="008040A9" w:rsidP="00BD20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hideMark/>
          </w:tcPr>
          <w:p w:rsidR="008040A9" w:rsidRPr="005D7701" w:rsidRDefault="008040A9" w:rsidP="00BD20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0A9" w:rsidRPr="005C45F7" w:rsidTr="00F67AF2">
        <w:tc>
          <w:tcPr>
            <w:tcW w:w="4518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980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</w:tr>
      <w:tr w:rsidR="008040A9" w:rsidRPr="005C45F7" w:rsidTr="00F67AF2">
        <w:tc>
          <w:tcPr>
            <w:tcW w:w="4518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80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Я.В. Ермакова </w:t>
            </w:r>
          </w:p>
        </w:tc>
      </w:tr>
      <w:tr w:rsidR="008040A9" w:rsidRPr="005C45F7" w:rsidTr="00F67AF2">
        <w:tc>
          <w:tcPr>
            <w:tcW w:w="4518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80" w:type="dxa"/>
            <w:hideMark/>
          </w:tcPr>
          <w:p w:rsidR="008040A9" w:rsidRPr="005C45F7" w:rsidRDefault="008040A9" w:rsidP="00BD2024">
            <w:pPr>
              <w:tabs>
                <w:tab w:val="center" w:pos="2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40A9" w:rsidRPr="005C45F7" w:rsidRDefault="008040A9" w:rsidP="00BD2024">
            <w:pPr>
              <w:tabs>
                <w:tab w:val="center" w:pos="2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Пряников</w:t>
            </w: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040A9" w:rsidRPr="005C45F7" w:rsidTr="00F67AF2">
        <w:tc>
          <w:tcPr>
            <w:tcW w:w="4518" w:type="dxa"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8040A9" w:rsidRPr="005C45F7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5C45F7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Мановицкая</w:t>
            </w:r>
            <w:proofErr w:type="spellEnd"/>
          </w:p>
        </w:tc>
      </w:tr>
    </w:tbl>
    <w:p w:rsidR="008040A9" w:rsidRPr="005D7701" w:rsidRDefault="008040A9" w:rsidP="0080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Всего на заседании присутствует 5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 xml:space="preserve"> членов комиссии, что состав</w:t>
      </w:r>
      <w:r>
        <w:rPr>
          <w:rFonts w:ascii="Times New Roman" w:eastAsia="Times New Roman" w:hAnsi="Times New Roman" w:cs="Times New Roman"/>
          <w:sz w:val="24"/>
          <w:szCs w:val="32"/>
        </w:rPr>
        <w:t>ляет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</w:rPr>
        <w:t>5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>0% от общего количества членов комиссии. Кворум имеется, заседание правомочно.</w:t>
      </w:r>
    </w:p>
    <w:p w:rsidR="00363A3D" w:rsidRDefault="008040A9" w:rsidP="0080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5D7701">
        <w:rPr>
          <w:rFonts w:ascii="Times New Roman" w:eastAsia="Times New Roman" w:hAnsi="Times New Roman" w:cs="Times New Roman"/>
          <w:sz w:val="24"/>
          <w:szCs w:val="32"/>
        </w:rPr>
        <w:t xml:space="preserve">3. Сообщение о проведении настоящего конкурса было размещено на официальном сайте </w:t>
      </w:r>
      <w:r w:rsidRPr="009F31EB">
        <w:rPr>
          <w:rFonts w:ascii="Times New Roman" w:eastAsia="Times New Roman" w:hAnsi="Times New Roman" w:cs="Times New Roman"/>
          <w:sz w:val="24"/>
          <w:szCs w:val="24"/>
        </w:rPr>
        <w:t xml:space="preserve">торгов </w:t>
      </w:r>
      <w:hyperlink r:id="rId6" w:history="1">
        <w:r w:rsidRPr="009F3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Pr="009F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1EB">
        <w:rPr>
          <w:rFonts w:ascii="Times New Roman" w:eastAsia="Calibri" w:hAnsi="Times New Roman" w:cs="Times New Roman"/>
          <w:sz w:val="24"/>
          <w:szCs w:val="24"/>
          <w:lang w:eastAsia="en-US"/>
        </w:rPr>
        <w:t>20.03.2020 года.</w:t>
      </w:r>
      <w:r w:rsidRPr="005D7701">
        <w:rPr>
          <w:rFonts w:ascii="Times New Roman" w:eastAsia="Times New Roman" w:hAnsi="Times New Roman" w:cs="Times New Roman"/>
          <w:sz w:val="24"/>
          <w:szCs w:val="32"/>
        </w:rPr>
        <w:tab/>
      </w:r>
    </w:p>
    <w:p w:rsidR="008040A9" w:rsidRPr="008040A9" w:rsidRDefault="00363A3D" w:rsidP="0080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4.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>Представленные Конкурсные предложения вскрыты 1</w:t>
      </w:r>
      <w:r>
        <w:rPr>
          <w:rFonts w:ascii="Times New Roman" w:eastAsia="Times New Roman" w:hAnsi="Times New Roman" w:cs="Times New Roman"/>
          <w:sz w:val="24"/>
          <w:szCs w:val="32"/>
        </w:rPr>
        <w:t>1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>.0</w:t>
      </w:r>
      <w:r>
        <w:rPr>
          <w:rFonts w:ascii="Times New Roman" w:eastAsia="Times New Roman" w:hAnsi="Times New Roman" w:cs="Times New Roman"/>
          <w:sz w:val="24"/>
          <w:szCs w:val="32"/>
        </w:rPr>
        <w:t>8.2020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 xml:space="preserve"> на заседании Конкурсной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>комиссии (Протокол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№04 от 11.08.2020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 xml:space="preserve"> вскрытия конвертов с конкурсными предложениями 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на участие в открытом </w:t>
      </w:r>
      <w:r w:rsidRPr="00363A3D">
        <w:rPr>
          <w:rFonts w:ascii="Times New Roman" w:eastAsia="Times New Roman" w:hAnsi="Times New Roman" w:cs="Times New Roman"/>
          <w:sz w:val="24"/>
          <w:szCs w:val="32"/>
        </w:rPr>
        <w:t xml:space="preserve">конкурсе  </w:t>
      </w:r>
      <w:r w:rsidRPr="00363A3D">
        <w:rPr>
          <w:rFonts w:ascii="Times New Roman" w:eastAsia="Times New Roman" w:hAnsi="Times New Roman" w:cs="Times New Roman"/>
          <w:bCs/>
          <w:sz w:val="24"/>
          <w:szCs w:val="24"/>
        </w:rPr>
        <w:t>по сообщению № 200320/0060027/01)</w:t>
      </w:r>
      <w:r w:rsidR="008040A9" w:rsidRPr="005D7701">
        <w:rPr>
          <w:rFonts w:ascii="Times New Roman" w:eastAsia="Times New Roman" w:hAnsi="Times New Roman" w:cs="Times New Roman"/>
          <w:sz w:val="24"/>
          <w:szCs w:val="32"/>
        </w:rPr>
        <w:tab/>
      </w:r>
      <w:r w:rsidR="008040A9" w:rsidRPr="005D7701">
        <w:rPr>
          <w:rFonts w:ascii="Times New Roman" w:eastAsia="Times New Roman" w:hAnsi="Times New Roman" w:cs="Times New Roman"/>
          <w:sz w:val="24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32"/>
        </w:rPr>
        <w:t>5</w:t>
      </w:r>
      <w:r w:rsidR="008040A9">
        <w:rPr>
          <w:rFonts w:ascii="Times New Roman" w:eastAsia="Times New Roman" w:hAnsi="Times New Roman" w:cs="Times New Roman"/>
          <w:sz w:val="24"/>
          <w:szCs w:val="32"/>
        </w:rPr>
        <w:t xml:space="preserve">. </w:t>
      </w:r>
      <w:r w:rsidR="008040A9" w:rsidRPr="008040A9">
        <w:rPr>
          <w:rFonts w:ascii="Times New Roman" w:eastAsia="Times New Roman" w:hAnsi="Times New Roman" w:cs="Times New Roman"/>
          <w:sz w:val="24"/>
          <w:szCs w:val="32"/>
        </w:rPr>
        <w:t>На процедуре рассмотрения и оценки конкурсных предложений были рассмотрены</w:t>
      </w:r>
    </w:p>
    <w:p w:rsidR="008040A9" w:rsidRDefault="008040A9" w:rsidP="0080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040A9">
        <w:rPr>
          <w:rFonts w:ascii="Times New Roman" w:eastAsia="Times New Roman" w:hAnsi="Times New Roman" w:cs="Times New Roman"/>
          <w:sz w:val="24"/>
          <w:szCs w:val="32"/>
        </w:rPr>
        <w:t>конкурсные предложения следующих участников конкурса: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5"/>
        <w:gridCol w:w="4535"/>
      </w:tblGrid>
      <w:tr w:rsidR="008040A9" w:rsidRPr="00166229" w:rsidTr="00363A3D">
        <w:trPr>
          <w:trHeight w:val="1130"/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0A9" w:rsidRPr="004A176B" w:rsidRDefault="008040A9" w:rsidP="00BD2024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4A176B">
              <w:rPr>
                <w:rFonts w:ascii="Times New Roman" w:eastAsia="Times New Roman" w:hAnsi="Times New Roman" w:cs="Times New Roman"/>
                <w:lang w:eastAsia="en-US"/>
              </w:rPr>
              <w:t>егистрационный номер конкурсного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Default="008040A9" w:rsidP="00BD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76B">
              <w:rPr>
                <w:rFonts w:ascii="Times New Roman" w:eastAsia="Times New Roman" w:hAnsi="Times New Roman" w:cs="Times New Roman"/>
                <w:lang w:eastAsia="en-US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поступления</w:t>
            </w:r>
            <w:r w:rsidRPr="004A176B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конкурсного предложения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Default="008040A9" w:rsidP="00BD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76B">
              <w:rPr>
                <w:rFonts w:ascii="Times New Roman" w:eastAsia="Times New Roman" w:hAnsi="Times New Roman" w:cs="Times New Roman"/>
                <w:lang w:eastAsia="en-US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поступления </w:t>
            </w:r>
            <w:r w:rsidRPr="004A176B">
              <w:rPr>
                <w:rFonts w:ascii="Times New Roman" w:eastAsia="Times New Roman" w:hAnsi="Times New Roman" w:cs="Times New Roman"/>
                <w:lang w:eastAsia="en-US"/>
              </w:rPr>
              <w:t>конкурсного предложения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0A9" w:rsidRDefault="008040A9" w:rsidP="00BD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место нахождения                          (для юридического лица) </w:t>
            </w:r>
          </w:p>
          <w:p w:rsidR="008040A9" w:rsidRDefault="008040A9" w:rsidP="00BD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фамилия, имя, отчество и место жительства</w:t>
            </w:r>
          </w:p>
          <w:p w:rsidR="008040A9" w:rsidRDefault="008040A9" w:rsidP="00BD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(для индивидуального предпринимателя)</w:t>
            </w:r>
          </w:p>
          <w:p w:rsidR="008040A9" w:rsidRPr="00166229" w:rsidRDefault="008040A9" w:rsidP="00BD2024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040A9" w:rsidRPr="005D7701" w:rsidTr="00363A3D">
        <w:trPr>
          <w:trHeight w:val="5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0A9" w:rsidRPr="004A176B" w:rsidRDefault="008040A9" w:rsidP="00BD2024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</w:t>
            </w:r>
            <w:r w:rsidRPr="005D77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8040A9" w:rsidRPr="005D7701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Pr="005D7701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Pr="005D7701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9 </w:t>
            </w: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16 </w:t>
            </w: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мин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0A9" w:rsidRPr="005D7701" w:rsidRDefault="008040A9" w:rsidP="00BD2024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7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ООО «Тепло Севера»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r w:rsidRPr="005D77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686314, Магаданская область, г. Сусуман, ул. Северная, д.9</w:t>
            </w:r>
          </w:p>
          <w:p w:rsidR="008040A9" w:rsidRPr="005D7701" w:rsidRDefault="008040A9" w:rsidP="00BD2024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7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8040A9" w:rsidRPr="005D7701" w:rsidTr="00363A3D">
        <w:trPr>
          <w:trHeight w:val="5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0A9" w:rsidRPr="004A176B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D77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02</w:t>
            </w:r>
          </w:p>
          <w:p w:rsidR="008040A9" w:rsidRPr="005D7701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Pr="004A176B" w:rsidRDefault="008040A9" w:rsidP="00BD20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.08.2020</w:t>
            </w:r>
          </w:p>
          <w:p w:rsidR="008040A9" w:rsidRPr="005D7701" w:rsidRDefault="008040A9" w:rsidP="00BD20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A9" w:rsidRPr="005D7701" w:rsidRDefault="008040A9" w:rsidP="00BD20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10 ч.46 </w:t>
            </w:r>
            <w:r w:rsidRPr="004A17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мин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0A9" w:rsidRPr="005D7701" w:rsidRDefault="008040A9" w:rsidP="00BD202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D7701">
              <w:rPr>
                <w:rFonts w:ascii="Times New Roman" w:eastAsia="Times New Roman" w:hAnsi="Times New Roman" w:cs="Times New Roman"/>
                <w:lang w:eastAsia="en-US"/>
              </w:rPr>
              <w:t xml:space="preserve">ООО «Сусуман-Ресурс»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5D7701">
              <w:rPr>
                <w:rFonts w:ascii="Times New Roman" w:eastAsia="Times New Roman" w:hAnsi="Times New Roman" w:cs="Times New Roman"/>
                <w:lang w:eastAsia="en-US"/>
              </w:rPr>
              <w:t>686314, Магаданская область, г. Сусуман, ул. Набережная, д.5</w:t>
            </w:r>
          </w:p>
          <w:p w:rsidR="008040A9" w:rsidRPr="005D7701" w:rsidRDefault="008040A9" w:rsidP="00BD202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D770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8C6AE4" w:rsidRPr="008C6AE4" w:rsidRDefault="008C6AE4" w:rsidP="00ED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2"/>
        </w:rPr>
        <w:tab/>
      </w:r>
      <w:r w:rsidR="00ED61AF">
        <w:rPr>
          <w:rFonts w:ascii="Times New Roman" w:eastAsia="Times New Roman" w:hAnsi="Times New Roman" w:cs="Times New Roman"/>
          <w:sz w:val="24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Конкурсной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рассмотрения конкурсного предложения ООО «Тепло Севера»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 единогласное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соответствии конкурсного предложения ООО «Тепло Севера» требованиям конкурсной документации.</w:t>
      </w:r>
    </w:p>
    <w:p w:rsidR="008C6AE4" w:rsidRDefault="008C6AE4" w:rsidP="008C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1A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комиссией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рассмотрения конкурсного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ООО «Сусуман-Ресурс» приня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единогласное</w:t>
      </w:r>
      <w:r w:rsidRPr="008C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несоответствии конкурсного предложения ООО «Сусуман-Ресурс» требованиям конкурсной документации по </w:t>
      </w:r>
      <w:r w:rsidR="00E7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</w:t>
      </w:r>
      <w:r w:rsidR="00412D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</w:t>
      </w:r>
      <w:r w:rsidR="00E715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59D" w:rsidRDefault="00E7159D" w:rsidP="008C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F2" w:rsidRDefault="00F67AF2" w:rsidP="008C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618"/>
        <w:gridCol w:w="2068"/>
        <w:gridCol w:w="1842"/>
        <w:gridCol w:w="2976"/>
      </w:tblGrid>
      <w:tr w:rsidR="00E7159D" w:rsidRPr="00E7159D" w:rsidTr="00F67AF2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 критерия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Значения показателя, установленные конкурсной документацией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ООО "Сусуман-Ресурс"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</w:t>
            </w:r>
          </w:p>
        </w:tc>
      </w:tr>
      <w:tr w:rsidR="00E7159D" w:rsidRPr="00E7159D" w:rsidTr="00F67AF2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7159D" w:rsidRPr="00E7159D" w:rsidTr="00F67AF2">
        <w:trPr>
          <w:trHeight w:val="10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конкурсном предложении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F6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Ссылка на пункт конкурсного предложения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7159D" w:rsidRPr="00E7159D" w:rsidTr="00F67AF2">
        <w:trPr>
          <w:trHeight w:val="75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Предельный размер расходов Концессионера на создание и (или) реконструкцию объекта на весь срок концессионного соглашения, в </w:t>
            </w:r>
            <w:proofErr w:type="spellStart"/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E7159D" w:rsidRPr="00E7159D" w:rsidTr="00F67AF2">
        <w:trPr>
          <w:trHeight w:val="3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теплоснабжение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186 170,27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923 239,11 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(341 617,69+356 850,58+112 385,42+112 385,42)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пункт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Условие, содержащееся в конкурсном предложении ООО "Сусуман-Ресурс",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соответствует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 установленным предельным (максимальным) значениям критериев конкурса (ч.3 ст. 32 ФЗ №115-фз). Предельный размер расходов на создание и (или) реконструкцию объекта концессионного соглашения устанавливается на весь срок действия концессионного соглашения (ч.4 ст. 47 ФЗ №115-фз). Согласно приложению №2 к конкурсной документации предельный размер расходов Концессионера на создание и (или) реконструкцию объекта в части теплоснабжения составляет 186 170,27 тыс. руб.</w:t>
            </w:r>
          </w:p>
        </w:tc>
      </w:tr>
      <w:tr w:rsidR="00E7159D" w:rsidRPr="00E7159D" w:rsidTr="00F67AF2">
        <w:trPr>
          <w:trHeight w:val="3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горячее водоснабжение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222 208,32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пункт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Условие, содержащееся в конкурсном предложении ООО "Сусуман-Ресурс",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соответствует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 установленным предельным (максимальным) значениям критериев конкурса (ч.3 ст. 32 ФЗ №115-фз). Предельный размер расходов на создание и (или) реконструкцию объекта концессионного соглашения устанавливается на весь срок действия концессионного соглашения (ч.4 ст. 47 ФЗ №115-фз). Согласно приложению №2 к конкурсной документации предельный размер расходов Концессионера на создание и (или) реконструкцию объекта в части горячего водоснабжения составляет 8 640,0 тыс. руб.</w:t>
            </w:r>
          </w:p>
        </w:tc>
      </w:tr>
      <w:tr w:rsidR="00E7159D" w:rsidRPr="00E7159D" w:rsidTr="00F67AF2">
        <w:trPr>
          <w:trHeight w:val="19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водоотведение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144 137,70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не указан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пункт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Условие, содержащееся в конкурсном предложении ООО "Сусуман-Ресурс",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 соответствует 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установленным параметрам критериев конкурса: в нарушение ч.1. ст. 49 Федерального закона №115-фз для  критерия конкурса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указано значение предлагаемого участником конкурса условия в виде числового значения</w:t>
            </w:r>
          </w:p>
        </w:tc>
      </w:tr>
      <w:tr w:rsidR="00E7159D" w:rsidRPr="00E7159D" w:rsidTr="00F67AF2">
        <w:trPr>
          <w:trHeight w:val="28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нарушения</w:t>
            </w:r>
          </w:p>
        </w:tc>
      </w:tr>
      <w:tr w:rsidR="00E7159D" w:rsidRPr="00E7159D" w:rsidTr="00F67AF2">
        <w:trPr>
          <w:trHeight w:val="21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Несоответствие перечня мероприятий конкурсного предложения заданию конкурсной документации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приложение №2 конкурсной документации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пункт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Мероприятия, содержащиеся в пункте 4 таблицы "Основные мероприятия по реконструкции (модернизации) объекта концессионного соглашения" конкурсного предложения ООО "Сусуман-Ресурс",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соответствуют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 заданию на реконструкцию объекта концессионного соглашения (приложение №2 к конкурсной документации).</w:t>
            </w:r>
          </w:p>
        </w:tc>
      </w:tr>
      <w:tr w:rsidR="00E7159D" w:rsidRPr="00E7159D" w:rsidTr="00F67AF2">
        <w:trPr>
          <w:trHeight w:val="2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Противоречивые, сомнительные, неподтвержденные или недостоверные данные в конкурсном предложении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В пункте 4 конкурсного предложения суммарное значение расходов на реконструкцию объектов теплоснабжения составляет 701 030 774,95 руб. (суммы по мероприятиям: 715166,66+1982275+16000000+227333333,3+270833333,33+108333333,33+75833333,33=701030774,95) , а в пункте 1 конкурсного предложения суммарное значение предельных расходов на мероприятия по теплоснабжению составляют 923 239,11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пункты 1,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D" w:rsidRPr="00E7159D" w:rsidRDefault="00E7159D" w:rsidP="00E71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предельных расходах на реконструкцию объектов теплоснабжения в разрезе мероприятий, содержащаяся в столбце 6 таблицы "Основные мероприятия по реконструкции (модернизации) объекта концессионного соглашения" конкурсного предложения,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 подтверждает заявленный ООО "Сусуман-Ресурс" в пункте 1 конкурсного предложения 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 xml:space="preserve">предельный размер расходов на  реконструкцию объекта концессионного соглашения на весь срок концессионного соглашения в части объектов теплоснабжения. Таким образом, участником конкурса не представлены материалы, подтверждающие информацию, содержащуюся в пункте 1 конкурсного предложения в части предельных расходов на реконструкцию объектов 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соглашения в части теплоснабжения. Из содержания конкурсного предложения </w:t>
            </w:r>
            <w:r w:rsidRPr="00E71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представляется возможным однозначно определить предлагаемое значение предельного размера расходов на реконструкцию объекта КС на весь срок действия КС в части объектов теплоснабжения</w:t>
            </w:r>
            <w:r w:rsidRPr="00E715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67AF2" w:rsidRDefault="00F67AF2" w:rsidP="00412D7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63233" w:rsidRDefault="00412D78" w:rsidP="00412D7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ab/>
      </w:r>
      <w:r w:rsidR="00ED61AF">
        <w:rPr>
          <w:rFonts w:ascii="yandex-sans" w:hAnsi="yandex-sans"/>
          <w:color w:val="000000"/>
          <w:sz w:val="23"/>
          <w:szCs w:val="23"/>
          <w:shd w:val="clear" w:color="auto" w:fill="FFFFFF"/>
        </w:rPr>
        <w:t>8</w:t>
      </w:r>
      <w:r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  <w:r w:rsidR="00ED61A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>На основании пункта 21.5 конкурсной документации и в</w:t>
      </w:r>
      <w:r w:rsidR="00ED61A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соответствии с</w:t>
      </w:r>
      <w:r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</w:t>
      </w:r>
      <w:r w:rsidR="00ED61A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унктом </w:t>
      </w:r>
      <w:r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7 статьи 32 Федеральн</w:t>
      </w:r>
      <w:r w:rsidR="00D44539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ого</w:t>
      </w:r>
      <w:r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закон</w:t>
      </w:r>
      <w:r w:rsidR="00D44539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а</w:t>
      </w:r>
      <w:r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от 21.07.2005 N 115-ФЗ "О концессионных соглашениях"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конкурсной комиссией единогласно приняты следующие решения</w:t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412D78" w:rsidRDefault="00ED61AF" w:rsidP="00412D78">
      <w:pPr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- </w:t>
      </w:r>
      <w:r w:rsidR="00763233" w:rsidRP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открытый конкурс на право заключения концессионного соглашения в отношении </w:t>
      </w:r>
      <w:bookmarkStart w:id="0" w:name="_GoBack"/>
      <w:bookmarkEnd w:id="0"/>
      <w:r w:rsidR="00763233" w:rsidRP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>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расположенных на территории г. Сусумана Магаданской област</w:t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и, 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>объяв</w:t>
      </w:r>
      <w:r w:rsidR="00400130">
        <w:rPr>
          <w:rFonts w:ascii="yandex-sans" w:hAnsi="yandex-sans"/>
          <w:color w:val="000000"/>
          <w:sz w:val="24"/>
          <w:szCs w:val="24"/>
          <w:shd w:val="clear" w:color="auto" w:fill="FFFFFF"/>
        </w:rPr>
        <w:t>ить</w:t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412D78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не состоявшимся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 причине признания</w:t>
      </w:r>
      <w:r w:rsidR="0040013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конкурсной комиссией </w:t>
      </w:r>
      <w:r w:rsidR="00412D78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соответствующими требованиям конкурсной документации менее двух конкурсных предложений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(соответствует одно конкурсное предложение ООО «Тепло Севера)</w:t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>;</w:t>
      </w:r>
    </w:p>
    <w:p w:rsidR="003A5A01" w:rsidRDefault="00ED61AF" w:rsidP="00763233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</w:r>
      <w:r w:rsidR="00763233">
        <w:rPr>
          <w:rFonts w:ascii="yandex-sans" w:hAnsi="yandex-sans"/>
          <w:color w:val="000000"/>
          <w:sz w:val="24"/>
          <w:szCs w:val="24"/>
          <w:shd w:val="clear" w:color="auto" w:fill="FFFFFF"/>
        </w:rPr>
        <w:t>-</w:t>
      </w:r>
      <w:r w:rsidR="00B55080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результатам </w:t>
      </w:r>
      <w:r w:rsidR="00B55080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рассмотре</w:t>
      </w:r>
      <w:r w:rsidR="00E7159D">
        <w:rPr>
          <w:rFonts w:ascii="yandex-sans" w:hAnsi="yandex-sans"/>
          <w:color w:val="000000"/>
          <w:sz w:val="24"/>
          <w:szCs w:val="24"/>
          <w:shd w:val="clear" w:color="auto" w:fill="FFFFFF"/>
        </w:rPr>
        <w:t>ния</w:t>
      </w:r>
      <w:r w:rsidR="004F461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единственного</w:t>
      </w:r>
      <w:r w:rsidR="00B55080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конкурсно</w:t>
      </w:r>
      <w:r w:rsidR="004F4618">
        <w:rPr>
          <w:rFonts w:ascii="yandex-sans" w:hAnsi="yandex-sans"/>
          <w:color w:val="000000"/>
          <w:sz w:val="24"/>
          <w:szCs w:val="24"/>
          <w:shd w:val="clear" w:color="auto" w:fill="FFFFFF"/>
        </w:rPr>
        <w:t>го</w:t>
      </w:r>
      <w:r w:rsidR="00B55080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предложени</w:t>
      </w:r>
      <w:r w:rsidR="004F4618">
        <w:rPr>
          <w:rFonts w:ascii="yandex-sans" w:hAnsi="yandex-sans"/>
          <w:color w:val="000000"/>
          <w:sz w:val="24"/>
          <w:szCs w:val="24"/>
          <w:shd w:val="clear" w:color="auto" w:fill="FFFFFF"/>
        </w:rPr>
        <w:t>я, соответствующего требованиям конкурсной документации, заключить с</w:t>
      </w:r>
      <w:r w:rsidR="00B55080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ООО «Тепло Севера» </w:t>
      </w:r>
      <w:r w:rsidR="003A5A01">
        <w:rPr>
          <w:rFonts w:ascii="yandex-sans" w:hAnsi="yandex-sans"/>
          <w:color w:val="000000"/>
          <w:sz w:val="23"/>
          <w:szCs w:val="23"/>
          <w:shd w:val="clear" w:color="auto" w:fill="FFFFFF"/>
        </w:rPr>
        <w:t>концессионно</w:t>
      </w:r>
      <w:r w:rsidR="004F4618">
        <w:rPr>
          <w:rFonts w:ascii="yandex-sans" w:hAnsi="yandex-sans"/>
          <w:color w:val="000000"/>
          <w:sz w:val="23"/>
          <w:szCs w:val="23"/>
          <w:shd w:val="clear" w:color="auto" w:fill="FFFFFF"/>
        </w:rPr>
        <w:t>е</w:t>
      </w:r>
      <w:r w:rsidR="003A5A0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соглашени</w:t>
      </w:r>
      <w:r w:rsidR="004F4618">
        <w:rPr>
          <w:rFonts w:ascii="yandex-sans" w:hAnsi="yandex-sans"/>
          <w:color w:val="000000"/>
          <w:sz w:val="23"/>
          <w:szCs w:val="23"/>
          <w:shd w:val="clear" w:color="auto" w:fill="FFFFFF"/>
        </w:rPr>
        <w:t>е</w:t>
      </w:r>
      <w:r w:rsidR="003A5A0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A5A01" w:rsidRPr="003A5A01">
        <w:rPr>
          <w:rFonts w:ascii="yandex-sans" w:hAnsi="yandex-sans"/>
          <w:color w:val="000000"/>
          <w:sz w:val="24"/>
          <w:szCs w:val="24"/>
          <w:shd w:val="clear" w:color="auto" w:fill="FFFFFF"/>
        </w:rPr>
        <w:t>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расположенных на территории г. Сусумана Магаданской области</w:t>
      </w:r>
      <w:r w:rsidR="004F461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соответствии с условиями, </w:t>
      </w:r>
      <w:r w:rsidR="003A5A01" w:rsidRPr="003A5A01">
        <w:rPr>
          <w:rFonts w:ascii="yandex-sans" w:eastAsia="Times New Roman" w:hAnsi="yandex-sans" w:cs="Times New Roman"/>
          <w:color w:val="000000"/>
          <w:sz w:val="23"/>
          <w:szCs w:val="23"/>
        </w:rPr>
        <w:t>изложенны</w:t>
      </w:r>
      <w:r w:rsidR="004F4618">
        <w:rPr>
          <w:rFonts w:ascii="yandex-sans" w:eastAsia="Times New Roman" w:hAnsi="yandex-sans" w:cs="Times New Roman"/>
          <w:color w:val="000000"/>
          <w:sz w:val="23"/>
          <w:szCs w:val="23"/>
        </w:rPr>
        <w:t>ми</w:t>
      </w:r>
      <w:r w:rsidR="003A5A01" w:rsidRPr="003A5A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конкурсной документации,</w:t>
      </w:r>
      <w:r w:rsidR="0076323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F4618">
        <w:rPr>
          <w:rFonts w:ascii="yandex-sans" w:eastAsia="Times New Roman" w:hAnsi="yandex-sans" w:cs="Times New Roman"/>
          <w:color w:val="000000"/>
          <w:sz w:val="23"/>
          <w:szCs w:val="23"/>
        </w:rPr>
        <w:t>и условиями, содержащимися в представленном ООО «Тепло Севера» конкурсном предложении.</w:t>
      </w:r>
    </w:p>
    <w:p w:rsidR="00F67AF2" w:rsidRPr="003A5A01" w:rsidRDefault="00400130" w:rsidP="00763233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F67AF2">
        <w:rPr>
          <w:rFonts w:ascii="yandex-sans" w:eastAsia="Times New Roman" w:hAnsi="yandex-sans" w:cs="Times New Roman"/>
          <w:color w:val="000000"/>
          <w:sz w:val="23"/>
          <w:szCs w:val="23"/>
        </w:rPr>
        <w:t>9.Концессионное соглашение должно быть заключено в тридцатидневный срок со дня принятия решения о признании конкурса несостоявшимся.</w:t>
      </w:r>
    </w:p>
    <w:p w:rsidR="008040A9" w:rsidRPr="00FF40E7" w:rsidRDefault="00763233" w:rsidP="00CB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ab/>
        <w:t xml:space="preserve"> </w:t>
      </w:r>
      <w:r w:rsidR="008040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61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40A9" w:rsidRPr="00FF40E7">
        <w:rPr>
          <w:rFonts w:ascii="Times New Roman" w:eastAsia="Times New Roman" w:hAnsi="Times New Roman" w:cs="Times New Roman"/>
          <w:sz w:val="24"/>
          <w:szCs w:val="24"/>
        </w:rPr>
        <w:t xml:space="preserve">. Процедура 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оценки </w:t>
      </w:r>
      <w:r w:rsidR="00CB3E22" w:rsidRPr="00CB3E22">
        <w:rPr>
          <w:rFonts w:ascii="Times New Roman" w:eastAsia="Times New Roman" w:hAnsi="Times New Roman" w:cs="Times New Roman"/>
          <w:sz w:val="24"/>
          <w:szCs w:val="24"/>
        </w:rPr>
        <w:t>конкурсных предложений на участие в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E22" w:rsidRPr="00CB3E22">
        <w:rPr>
          <w:rFonts w:ascii="Times New Roman" w:eastAsia="Times New Roman" w:hAnsi="Times New Roman" w:cs="Times New Roman"/>
          <w:sz w:val="24"/>
          <w:szCs w:val="24"/>
        </w:rPr>
        <w:t>открытом конкурсе по сообщению № 200320/0060027/01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A9" w:rsidRPr="00FF40E7">
        <w:rPr>
          <w:rFonts w:ascii="Times New Roman" w:eastAsia="Times New Roman" w:hAnsi="Times New Roman" w:cs="Times New Roman"/>
          <w:sz w:val="24"/>
          <w:szCs w:val="24"/>
        </w:rPr>
        <w:t xml:space="preserve">завершена </w:t>
      </w:r>
      <w:r w:rsidR="008040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40A9">
        <w:rPr>
          <w:rFonts w:ascii="Times New Roman" w:eastAsia="Times New Roman" w:hAnsi="Times New Roman" w:cs="Times New Roman"/>
          <w:sz w:val="24"/>
          <w:szCs w:val="24"/>
        </w:rPr>
        <w:t xml:space="preserve">.08.2020 </w:t>
      </w:r>
      <w:r w:rsidR="008040A9" w:rsidRPr="00FF40E7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40A9" w:rsidRPr="00FF40E7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CB3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0A9" w:rsidRPr="00FF40E7">
        <w:rPr>
          <w:rFonts w:ascii="Times New Roman" w:eastAsia="Times New Roman" w:hAnsi="Times New Roman" w:cs="Times New Roman"/>
          <w:sz w:val="24"/>
          <w:szCs w:val="24"/>
        </w:rPr>
        <w:t>0 минут (время местное).</w:t>
      </w:r>
    </w:p>
    <w:p w:rsidR="008040A9" w:rsidRPr="00FF40E7" w:rsidRDefault="008040A9" w:rsidP="0080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E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D61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40E7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r w:rsidRPr="00FF40E7">
        <w:rPr>
          <w:rFonts w:ascii="Times New Roman" w:eastAsia="Times New Roman" w:hAnsi="Times New Roman" w:cs="Times New Roman"/>
          <w:sz w:val="24"/>
          <w:szCs w:val="32"/>
        </w:rPr>
        <w:t xml:space="preserve">торгов </w:t>
      </w:r>
      <w:hyperlink r:id="rId7" w:history="1">
        <w:r w:rsidRPr="00F67AF2">
          <w:rPr>
            <w:rFonts w:ascii="Times New Roman" w:eastAsia="Times New Roman" w:hAnsi="Times New Roman" w:cs="Times New Roman"/>
            <w:sz w:val="24"/>
          </w:rPr>
          <w:t>https://torgi.gov.ru</w:t>
        </w:r>
      </w:hyperlink>
      <w:r w:rsidRPr="00F67AF2">
        <w:rPr>
          <w:rFonts w:ascii="Times New Roman" w:eastAsia="Times New Roman" w:hAnsi="Times New Roman" w:cs="Times New Roman"/>
          <w:sz w:val="24"/>
        </w:rPr>
        <w:t xml:space="preserve"> и на официальном сайте  администрации Сусуманского городского округа </w:t>
      </w:r>
      <w:r w:rsidRPr="00FF40E7">
        <w:rPr>
          <w:rFonts w:ascii="Times New Roman" w:eastAsia="Times New Roman" w:hAnsi="Times New Roman" w:cs="Times New Roman"/>
          <w:sz w:val="24"/>
          <w:szCs w:val="24"/>
        </w:rPr>
        <w:t>www.susumanskiy-rayon.ru.</w:t>
      </w:r>
    </w:p>
    <w:p w:rsidR="008040A9" w:rsidRPr="005D7701" w:rsidRDefault="00ED61AF" w:rsidP="00804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40A9" w:rsidRPr="005D7701">
        <w:rPr>
          <w:rFonts w:ascii="Times New Roman" w:eastAsia="Times New Roman" w:hAnsi="Times New Roman" w:cs="Times New Roman"/>
          <w:sz w:val="24"/>
          <w:szCs w:val="24"/>
        </w:rPr>
        <w:t>. Настоящий протокол подлежит хранению в течение срока действия концессионного соглашения.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517"/>
        <w:gridCol w:w="2930"/>
      </w:tblGrid>
      <w:tr w:rsidR="008040A9" w:rsidRPr="005D7701" w:rsidTr="00BD2024">
        <w:tc>
          <w:tcPr>
            <w:tcW w:w="3720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2517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9" w:rsidRPr="005D7701" w:rsidTr="00BD2024">
        <w:trPr>
          <w:trHeight w:val="576"/>
        </w:trPr>
        <w:tc>
          <w:tcPr>
            <w:tcW w:w="3720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17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</w:tr>
      <w:tr w:rsidR="008040A9" w:rsidRPr="005D7701" w:rsidTr="00BD2024">
        <w:tc>
          <w:tcPr>
            <w:tcW w:w="3720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2517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Я.В. Ермакова </w:t>
            </w: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9" w:rsidRPr="005D7701" w:rsidTr="00BD2024">
        <w:tc>
          <w:tcPr>
            <w:tcW w:w="3720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2517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9" w:rsidRPr="005D7701" w:rsidTr="00BD2024">
        <w:tc>
          <w:tcPr>
            <w:tcW w:w="372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hideMark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  <w:r w:rsid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Мановицкая</w:t>
            </w:r>
            <w:proofErr w:type="spellEnd"/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0A9" w:rsidRPr="005D7701" w:rsidTr="00BD2024">
        <w:tc>
          <w:tcPr>
            <w:tcW w:w="372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0A9" w:rsidRPr="00F67AF2" w:rsidRDefault="008040A9" w:rsidP="00BD2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F2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Пряников</w:t>
            </w:r>
          </w:p>
        </w:tc>
      </w:tr>
    </w:tbl>
    <w:p w:rsidR="008040A9" w:rsidRDefault="008040A9" w:rsidP="0080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A9" w:rsidRDefault="008040A9" w:rsidP="0080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A9" w:rsidRDefault="008040A9" w:rsidP="0080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A9" w:rsidRDefault="008040A9" w:rsidP="0080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A9" w:rsidRDefault="008040A9" w:rsidP="0080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34C" w:rsidRDefault="0016534C"/>
    <w:sectPr w:rsidR="0016534C" w:rsidSect="00363A3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9F308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3688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F83C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62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A09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869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26D9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673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EC"/>
    <w:rsid w:val="000C16CD"/>
    <w:rsid w:val="0016534C"/>
    <w:rsid w:val="00363A3D"/>
    <w:rsid w:val="003748BF"/>
    <w:rsid w:val="003A5A01"/>
    <w:rsid w:val="00400130"/>
    <w:rsid w:val="00412D78"/>
    <w:rsid w:val="00445B71"/>
    <w:rsid w:val="00465A02"/>
    <w:rsid w:val="004F4618"/>
    <w:rsid w:val="00763233"/>
    <w:rsid w:val="0077288E"/>
    <w:rsid w:val="008040A9"/>
    <w:rsid w:val="008C6AE4"/>
    <w:rsid w:val="00A81818"/>
    <w:rsid w:val="00B55080"/>
    <w:rsid w:val="00B61CC3"/>
    <w:rsid w:val="00C66CEC"/>
    <w:rsid w:val="00CB3E22"/>
    <w:rsid w:val="00D44539"/>
    <w:rsid w:val="00E7159D"/>
    <w:rsid w:val="00EB35E8"/>
    <w:rsid w:val="00ED61AF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04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0A9"/>
    <w:pPr>
      <w:ind w:left="720"/>
      <w:contextualSpacing/>
    </w:pPr>
  </w:style>
  <w:style w:type="paragraph" w:styleId="a5">
    <w:name w:val="No Spacing"/>
    <w:uiPriority w:val="1"/>
    <w:qFormat/>
    <w:rsid w:val="008040A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0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A9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80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0A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040A9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804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04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0A9"/>
    <w:pPr>
      <w:ind w:left="720"/>
      <w:contextualSpacing/>
    </w:pPr>
  </w:style>
  <w:style w:type="paragraph" w:styleId="a5">
    <w:name w:val="No Spacing"/>
    <w:uiPriority w:val="1"/>
    <w:qFormat/>
    <w:rsid w:val="008040A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0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0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0A9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80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0A9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040A9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804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2020-08-14T07:40:00Z</cp:lastPrinted>
  <dcterms:created xsi:type="dcterms:W3CDTF">2020-08-13T03:22:00Z</dcterms:created>
  <dcterms:modified xsi:type="dcterms:W3CDTF">2020-08-14T07:40:00Z</dcterms:modified>
</cp:coreProperties>
</file>