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3" w:rsidRPr="00DC7CA7" w:rsidRDefault="00AF3153" w:rsidP="00DC7CA7">
      <w:pPr>
        <w:pStyle w:val="1"/>
        <w:rPr>
          <w:rFonts w:eastAsia="Times New Roman"/>
          <w:color w:val="auto"/>
          <w:lang w:eastAsia="ru-RU"/>
        </w:rPr>
      </w:pPr>
      <w:bookmarkStart w:id="0" w:name="_GoBack"/>
      <w:r w:rsidRPr="00DC7CA7">
        <w:rPr>
          <w:rFonts w:eastAsia="Times New Roman"/>
          <w:color w:val="auto"/>
          <w:lang w:eastAsia="ru-RU"/>
        </w:rPr>
        <w:t>Информация</w:t>
      </w:r>
    </w:p>
    <w:bookmarkEnd w:id="0"/>
    <w:p w:rsidR="00AF3153" w:rsidRPr="00077140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1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Информация об основных положениях учетной политики </w:t>
      </w:r>
      <w:r w:rsidR="00683A05" w:rsidRPr="000771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Администрации Сусуманского городского округа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 274н, представляется информация об основных положениях учетной политики </w:t>
      </w:r>
      <w:r w:rsidR="00683A05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 городского округа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  утверждена распоряжением </w:t>
      </w:r>
      <w:r w:rsidR="00A32129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 городского округа от 26.12.2019 № 229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(бюджетный) учет (далее – бухгалтерский, бюджетный учет) </w:t>
      </w:r>
      <w:r w:rsidR="00683A05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 городского округа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243C2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соответствии с Бюджетным кодексом РФ, Федеральным законом от 06.12.2011 года № 402-ФЗ «О бухгалтерском учете»  (далее − Закон о бухгалтерском учете), Приказами  Минфина России от 01.12.2010 № 157н «О применении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фондами, государственных академий наук, государственных (муниципальных) учреждений» (далее - Инструкция  157н), от 06.12.2010 года № 162н «Об утверждении плана счетов бюджетного учета и инструкции по его применению» (далее - Инструкция 162н), федеральными стандартами учета и отчетности для сектора государственного управления, иными нормативно-правовыми актами, регулирующими вопросы бухгалтерского учета.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ведения бухгалтерского учета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32129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бюджетные полномочия главного распорядителя и получателя бюджетных средств, главного администратора доходов  бюджета, в соответствии с Бюджетным кодексом РФ.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(бюджетный) учет ведется </w:t>
      </w:r>
      <w:r w:rsidR="00D37089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по 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D37089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отчетности администрации </w:t>
      </w:r>
      <w:r w:rsidR="00513AE2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возглавляемым </w:t>
      </w:r>
      <w:r w:rsidR="00513AE2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управления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2.Рабочий план счетов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 учет ведется в соответствии с рабочим Планом счетов, разработанным в соответствии с Инструкцией 157н, Инструкцией 162н (приложение 1к Положению об учетной политики).</w:t>
      </w:r>
      <w:proofErr w:type="gramEnd"/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</w:t>
      </w:r>
    </w:p>
    <w:p w:rsidR="00AF3153" w:rsidRPr="00164CD5" w:rsidRDefault="00AF3153" w:rsidP="00AF31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активов, имущества, обязательств, иных объектов бухгалтерского учета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3.1.Инвентаризация активов, имущества, обязатель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один раз в год перед составлением годовой отчетности, а также в иных случаях, предусмотренных законодательством.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график проведения инвентаризации имущества, финансовых активов и обязательств приведены в приложении </w:t>
      </w:r>
      <w:r w:rsidR="00AB404C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об учетной политики.</w:t>
      </w:r>
      <w:proofErr w:type="gramEnd"/>
    </w:p>
    <w:p w:rsidR="00AF3153" w:rsidRPr="00164CD5" w:rsidRDefault="00AF3153" w:rsidP="00AF31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Первичные, сводные учетные и иные документы бухгалтерского учета, правила документооборота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4.1.   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бухгалтерского учета применяются унифицированные формы первичных документов и регистров бухгалтерского учета, утвержденные  приказом Минфина России 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proofErr w:type="gramEnd"/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Первичные и сводные учетные документы составляются на бумажных носителях.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Отражение фактов хозяйственной жизни  по соответствующим счетам рабочего плана счетов, формирование учетных документов и регистров бухгалтерского учета, осуществляются с применением автоматизированной системы "1С: Бухгалтерия" и «1СЗарплата».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передачи первичных учетных документов для отражения в бухучете устанавливаются в соответствии с графиком документообо</w:t>
      </w:r>
      <w:r w:rsidR="00032384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 (приложение 2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об учетной политики).</w:t>
      </w:r>
      <w:proofErr w:type="gramEnd"/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Формирование  регистров бухучета осуществляется в следующем порядке: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инвентарная карточка учета основных средств оформляется при принятии объекта к  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книга учета бланков строгой отчетности,  в последний рабочий день года;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журналы операций, заполняются ежемесячно;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-главная книга заполняется ежемесячно: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другие регистры, не указанные выше, заполняются по мере необходимости, если иное не установлено законодательством РФ.</w:t>
      </w:r>
    </w:p>
    <w:p w:rsidR="00AF3153" w:rsidRPr="00164CD5" w:rsidRDefault="00AF3153" w:rsidP="00AF31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активов, имущества и обязательств, методы оценки отдельных видов имущества и обязательств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Основные средства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5.1.1. В составе основных средств учитываются  материальные объекты независимо от их стоимости со сроком полезного использования более 12 месяцев.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Каждому объекту недвижимого, а также движимого имущества стоимостью свыше 10000 руб. присваивается уникальный инвентарный номер.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 Начисление амортизации основных сре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юджетном учете производится линейным методом в соответствии со сроками полезного использования.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 Переоценка основных сре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в сроки и в порядке, устанавливаемые Правительством РФ.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 Срок полезного использования объектов основных средств устанавливает комиссия по поступлению и выбытию активов.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5.1.7. Основные средства стоимостью до 10000 руб. включительно, находящиеся в эксплуатации, учитываются на одноименном </w:t>
      </w:r>
      <w:proofErr w:type="spell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по балансовой стоимости.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5.2.Материальные запасы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К материальным запасам относятся предметы, используемые в деятельности администрации в течение периода, не превышающего 12 месяцев, независимо от их стоимости.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. Списание материальных запасов производится по средней фактической стоимости.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Выдача в эксплуатацию на нужды учреждения канцелярских принадлежностей, 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5.3.  Стоимость безвозмездно полученных нефинансовых активов 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Стоимость безвозмездно полученных </w:t>
      </w:r>
      <w:proofErr w:type="spell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нефинансоых</w:t>
      </w:r>
      <w:proofErr w:type="spell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Расчеты по доходам</w:t>
      </w:r>
    </w:p>
    <w:p w:rsidR="00AF3153" w:rsidRPr="00164CD5" w:rsidRDefault="00AF3153" w:rsidP="00AB404C">
      <w:pPr>
        <w:shd w:val="clear" w:color="auto" w:fill="FFFFFF"/>
        <w:spacing w:after="0" w:line="315" w:lineRule="atLeast"/>
        <w:ind w:firstLine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5.5.1. </w:t>
      </w:r>
      <w:r w:rsidR="006B3C3B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бюджетные полномочия главного администратора доходов бюджета.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5.5.2 Порядок </w:t>
      </w: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полномочий администратора доходов бюджета</w:t>
      </w:r>
      <w:proofErr w:type="gram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законодательством Российской Федерации.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администрируемых доходов определяется решением </w:t>
      </w:r>
      <w:r w:rsidR="0057329F"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 Сусуманского городского округа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5.6. Расчеты с подотчетными лицами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Денежные средства перечисляются под отчет на основании  заявления, согласованного с руководителем. Выдача денежных средств под отчет производится путем: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перечисления на зарплатную карту командированного лица;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перечисления на банковскую (дебетовую) карту материально-ответственного лица.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Предельная сумма перечисления денежных средств под отчет (за исключением расходов на командировки) устанавливается в размере 20 000 (двадцать тысяч) руб.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Денежные средства выдаются под отчет на хозяйственные нужды, на проведение мероприятий  на срок, который сотрудник указал в заявлении на перечисление денежных средств под отчет, но не более десяти рабочих  дней. По истечении этого срока сотрудник должен отчитаться в течение трех рабочих дней.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5.7 Расчеты с дебиторами и кредиторами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 Дебиторскую задолженность, признанную нереальной для взыскания, списывать на финансовый результат  на основании данных проведенной инвентаризации. Списанную с балансового учета задолженность отражать на </w:t>
      </w:r>
      <w:proofErr w:type="spell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«Задолженность неплатежеспособных дебиторов»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 Кредиторскую задолженность, не востребованную кредитором, по которой срок исковой давности истек, списывать на финансовый результат на основании данных 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проведенной инвентаризации. Срок исковой давности определять в соответствии с законодательством РФ. 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Списанную с балансового учета задолженность отражать на </w:t>
      </w:r>
      <w:proofErr w:type="spell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:rsidR="00AF3153" w:rsidRPr="00164CD5" w:rsidRDefault="00AF3153" w:rsidP="00AF31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обеспечения внутреннего финансового контроля</w:t>
      </w:r>
    </w:p>
    <w:p w:rsidR="00AF3153" w:rsidRPr="00164CD5" w:rsidRDefault="00AF3153" w:rsidP="00C437E5">
      <w:pPr>
        <w:shd w:val="clear" w:color="auto" w:fill="FFFFFF" w:themeFill="background1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и формы внутреннего финансового контроля приведены в приложении </w:t>
      </w:r>
      <w:r w:rsidRPr="00164C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 к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учетной политики.</w:t>
      </w:r>
      <w:proofErr w:type="gramEnd"/>
    </w:p>
    <w:p w:rsidR="00AF3153" w:rsidRPr="00164CD5" w:rsidRDefault="00AF3153" w:rsidP="00C1598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после отчетной даты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Руководитель учреждения  принимает решение о существенности фактов хозяйственной жизни.</w:t>
      </w:r>
    </w:p>
    <w:p w:rsidR="00AF3153" w:rsidRPr="00164CD5" w:rsidRDefault="00AF3153" w:rsidP="00AF3153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Порядок признания и отражения в учете и бухгалтерской отчетности событий после отчетной даты </w:t>
      </w:r>
      <w:r w:rsidR="00D17707" w:rsidRPr="00164CD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B9488F" w:rsidRPr="00164CD5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hyperlink r:id="rId6" w:history="1">
        <w:r w:rsidR="00B9488F" w:rsidRPr="00164C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СГС</w:t>
        </w:r>
      </w:hyperlink>
      <w:r w:rsidR="00B9488F" w:rsidRPr="00164CD5">
        <w:rPr>
          <w:rFonts w:ascii="Times New Roman" w:hAnsi="Times New Roman" w:cs="Times New Roman"/>
          <w:sz w:val="24"/>
          <w:szCs w:val="24"/>
        </w:rPr>
        <w:t xml:space="preserve"> "События после отчетной даты"</w:t>
      </w:r>
    </w:p>
    <w:p w:rsidR="00AF3153" w:rsidRPr="00164CD5" w:rsidRDefault="00AF3153" w:rsidP="00C159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</w:t>
      </w:r>
    </w:p>
    <w:p w:rsidR="00AF3153" w:rsidRPr="00164CD5" w:rsidRDefault="00AF3153" w:rsidP="00C15985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России от 28 декабря 2010 г. № 191н).</w:t>
      </w:r>
      <w:r w:rsidRPr="00164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Бюджетная отчетность представляется финансовому органу в установленные им сроки.</w:t>
      </w:r>
    </w:p>
    <w:sectPr w:rsidR="00AF3153" w:rsidRPr="00164CD5" w:rsidSect="00683A05">
      <w:pgSz w:w="11905" w:h="16838"/>
      <w:pgMar w:top="1020" w:right="567" w:bottom="102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F5"/>
    <w:multiLevelType w:val="multilevel"/>
    <w:tmpl w:val="90A45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78FC"/>
    <w:multiLevelType w:val="multilevel"/>
    <w:tmpl w:val="6E264B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A870A0"/>
    <w:multiLevelType w:val="multilevel"/>
    <w:tmpl w:val="F9549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A589D"/>
    <w:multiLevelType w:val="multilevel"/>
    <w:tmpl w:val="81728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19C"/>
    <w:multiLevelType w:val="multilevel"/>
    <w:tmpl w:val="17A6C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E61A1"/>
    <w:multiLevelType w:val="multilevel"/>
    <w:tmpl w:val="74685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3"/>
    <w:rsid w:val="00032384"/>
    <w:rsid w:val="00077140"/>
    <w:rsid w:val="000F5D46"/>
    <w:rsid w:val="00164CD5"/>
    <w:rsid w:val="00293850"/>
    <w:rsid w:val="00513AE2"/>
    <w:rsid w:val="005243C2"/>
    <w:rsid w:val="0057329F"/>
    <w:rsid w:val="005940A7"/>
    <w:rsid w:val="00683A05"/>
    <w:rsid w:val="006B3C3B"/>
    <w:rsid w:val="00797FB4"/>
    <w:rsid w:val="008042CE"/>
    <w:rsid w:val="00891A21"/>
    <w:rsid w:val="008D5370"/>
    <w:rsid w:val="00906B51"/>
    <w:rsid w:val="00A32129"/>
    <w:rsid w:val="00AB404C"/>
    <w:rsid w:val="00AF3153"/>
    <w:rsid w:val="00B9488F"/>
    <w:rsid w:val="00C15985"/>
    <w:rsid w:val="00C437E5"/>
    <w:rsid w:val="00C87EC7"/>
    <w:rsid w:val="00D17707"/>
    <w:rsid w:val="00D37089"/>
    <w:rsid w:val="00DC1C9F"/>
    <w:rsid w:val="00DC7CA7"/>
    <w:rsid w:val="00F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153"/>
    <w:rPr>
      <w:i/>
      <w:iCs/>
    </w:rPr>
  </w:style>
  <w:style w:type="character" w:styleId="a5">
    <w:name w:val="Hyperlink"/>
    <w:basedOn w:val="a0"/>
    <w:unhideWhenUsed/>
    <w:rsid w:val="00AF31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5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153"/>
    <w:rPr>
      <w:i/>
      <w:iCs/>
    </w:rPr>
  </w:style>
  <w:style w:type="character" w:styleId="a5">
    <w:name w:val="Hyperlink"/>
    <w:basedOn w:val="a0"/>
    <w:unhideWhenUsed/>
    <w:rsid w:val="00AF31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5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AED91C70691654393C4422B6702763792395C742FD69E8EDC4717EAd6R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2022-02-08T04:26:00Z</dcterms:created>
  <dcterms:modified xsi:type="dcterms:W3CDTF">2022-02-11T00:51:00Z</dcterms:modified>
</cp:coreProperties>
</file>